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7DB" w:rsidRDefault="002B6CF8">
      <w:pPr>
        <w:spacing w:line="360" w:lineRule="auto"/>
        <w:jc w:val="center"/>
      </w:pPr>
      <w:r>
        <w:rPr>
          <w:rFonts w:ascii="Times New Roman" w:hAnsi="Times New Roman" w:cs="Times New Roman"/>
          <w:b/>
          <w:sz w:val="24"/>
        </w:rPr>
        <w:t>OBRAZLOŽENJE IZVRŠENJA FINANCIJSKOG PLANA CENTRA ZA RESTRUKTURIRANJE I PRODAJU ZA PRVO POLUGODIŠTE 2025. GODINE</w:t>
      </w:r>
    </w:p>
    <w:p w:rsidR="00A347DB" w:rsidRDefault="002B6CF8">
      <w:pPr>
        <w:spacing w:line="360" w:lineRule="auto"/>
      </w:pPr>
      <w:r>
        <w:rPr>
          <w:rFonts w:ascii="Times New Roman" w:hAnsi="Times New Roman" w:cs="Times New Roman"/>
          <w:b/>
          <w:sz w:val="24"/>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2718"/>
        <w:gridCol w:w="1553"/>
        <w:gridCol w:w="1553"/>
        <w:gridCol w:w="1552"/>
        <w:gridCol w:w="971"/>
        <w:gridCol w:w="971"/>
      </w:tblGrid>
      <w:tr w:rsidR="00A347DB">
        <w:tc>
          <w:tcPr>
            <w:tcW w:w="14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2024.</w:t>
            </w:r>
          </w:p>
        </w:tc>
        <w:tc>
          <w:tcPr>
            <w:tcW w:w="8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8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2025.</w:t>
            </w:r>
          </w:p>
        </w:tc>
        <w:tc>
          <w:tcPr>
            <w:tcW w:w="5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INDEKS</w:t>
            </w:r>
          </w:p>
        </w:tc>
      </w:tr>
      <w:tr w:rsidR="00A347DB">
        <w:tc>
          <w:tcPr>
            <w:tcW w:w="1400" w:type="pct"/>
            <w:shd w:val="clear" w:color="auto" w:fill="BCDFFB"/>
            <w:vAlign w:val="center"/>
          </w:tcPr>
          <w:p w:rsidR="00A347DB" w:rsidRDefault="002B6CF8">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A347DB" w:rsidRDefault="002B6CF8">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A347DB" w:rsidRDefault="002B6CF8">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A347DB" w:rsidRDefault="002B6CF8">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A347DB" w:rsidRDefault="002B6CF8">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A347DB" w:rsidRDefault="002B6CF8">
            <w:pPr>
              <w:spacing w:after="0" w:line="240" w:lineRule="auto"/>
              <w:jc w:val="center"/>
            </w:pPr>
            <w:r>
              <w:rPr>
                <w:rFonts w:ascii="Times New Roman" w:hAnsi="Times New Roman" w:cs="Times New Roman"/>
                <w:sz w:val="14"/>
              </w:rPr>
              <w:t>6=4/3</w:t>
            </w:r>
          </w:p>
        </w:tc>
      </w:tr>
      <w:tr w:rsidR="00A347DB">
        <w:tc>
          <w:tcPr>
            <w:tcW w:w="1400" w:type="pct"/>
            <w:vAlign w:val="bottom"/>
          </w:tcPr>
          <w:p w:rsidR="00A347DB" w:rsidRDefault="002B6CF8">
            <w:pPr>
              <w:spacing w:after="0" w:line="240" w:lineRule="auto"/>
            </w:pPr>
            <w:r>
              <w:rPr>
                <w:rFonts w:ascii="Times New Roman" w:hAnsi="Times New Roman" w:cs="Times New Roman"/>
                <w:sz w:val="18"/>
              </w:rPr>
              <w:t>6 PRIHODI POSLOVANJA</w:t>
            </w:r>
          </w:p>
        </w:tc>
        <w:tc>
          <w:tcPr>
            <w:tcW w:w="800" w:type="pct"/>
            <w:vAlign w:val="bottom"/>
          </w:tcPr>
          <w:p w:rsidR="00A347DB" w:rsidRDefault="002B6CF8">
            <w:pPr>
              <w:spacing w:after="0" w:line="240" w:lineRule="auto"/>
              <w:jc w:val="right"/>
            </w:pPr>
            <w:r>
              <w:rPr>
                <w:rFonts w:ascii="Times New Roman" w:hAnsi="Times New Roman" w:cs="Times New Roman"/>
                <w:sz w:val="18"/>
              </w:rPr>
              <w:t>3.566.450</w:t>
            </w:r>
          </w:p>
        </w:tc>
        <w:tc>
          <w:tcPr>
            <w:tcW w:w="800" w:type="pct"/>
            <w:vAlign w:val="bottom"/>
          </w:tcPr>
          <w:p w:rsidR="00A347DB" w:rsidRDefault="002B6CF8">
            <w:pPr>
              <w:spacing w:after="0" w:line="240" w:lineRule="auto"/>
              <w:jc w:val="right"/>
            </w:pPr>
            <w:r>
              <w:rPr>
                <w:rFonts w:ascii="Times New Roman" w:hAnsi="Times New Roman" w:cs="Times New Roman"/>
                <w:sz w:val="18"/>
              </w:rPr>
              <w:t>11.311.936</w:t>
            </w:r>
          </w:p>
        </w:tc>
        <w:tc>
          <w:tcPr>
            <w:tcW w:w="800" w:type="pct"/>
            <w:vAlign w:val="bottom"/>
          </w:tcPr>
          <w:p w:rsidR="00A347DB" w:rsidRDefault="002B6CF8">
            <w:pPr>
              <w:spacing w:after="0" w:line="240" w:lineRule="auto"/>
              <w:jc w:val="right"/>
            </w:pPr>
            <w:r>
              <w:rPr>
                <w:rFonts w:ascii="Times New Roman" w:hAnsi="Times New Roman" w:cs="Times New Roman"/>
                <w:sz w:val="18"/>
              </w:rPr>
              <w:t>579.121</w:t>
            </w:r>
          </w:p>
        </w:tc>
        <w:tc>
          <w:tcPr>
            <w:tcW w:w="500" w:type="pct"/>
            <w:vAlign w:val="bottom"/>
          </w:tcPr>
          <w:p w:rsidR="00A347DB" w:rsidRDefault="002B6CF8">
            <w:pPr>
              <w:spacing w:after="0" w:line="240" w:lineRule="auto"/>
              <w:jc w:val="right"/>
            </w:pPr>
            <w:r>
              <w:rPr>
                <w:rFonts w:ascii="Times New Roman" w:hAnsi="Times New Roman" w:cs="Times New Roman"/>
                <w:sz w:val="18"/>
              </w:rPr>
              <w:t>16,2</w:t>
            </w:r>
          </w:p>
        </w:tc>
        <w:tc>
          <w:tcPr>
            <w:tcW w:w="500" w:type="pct"/>
            <w:vAlign w:val="bottom"/>
          </w:tcPr>
          <w:p w:rsidR="00A347DB" w:rsidRDefault="002B6CF8">
            <w:pPr>
              <w:spacing w:after="0" w:line="240" w:lineRule="auto"/>
              <w:jc w:val="right"/>
            </w:pPr>
            <w:r>
              <w:rPr>
                <w:rFonts w:ascii="Times New Roman" w:hAnsi="Times New Roman" w:cs="Times New Roman"/>
                <w:sz w:val="18"/>
              </w:rPr>
              <w:t>5,1</w:t>
            </w:r>
          </w:p>
        </w:tc>
      </w:tr>
      <w:tr w:rsidR="00A347DB">
        <w:tc>
          <w:tcPr>
            <w:tcW w:w="1400" w:type="pct"/>
            <w:vAlign w:val="bottom"/>
          </w:tcPr>
          <w:p w:rsidR="00A347DB" w:rsidRDefault="002B6CF8">
            <w:pPr>
              <w:spacing w:after="0" w:line="240" w:lineRule="auto"/>
            </w:pPr>
            <w:r>
              <w:rPr>
                <w:rFonts w:ascii="Times New Roman" w:hAnsi="Times New Roman" w:cs="Times New Roman"/>
                <w:sz w:val="18"/>
              </w:rPr>
              <w:t>7 PRIHODI OD PRODAJE NEFINANCIJSKE IMOVINE</w:t>
            </w:r>
          </w:p>
        </w:tc>
        <w:tc>
          <w:tcPr>
            <w:tcW w:w="800" w:type="pct"/>
            <w:vAlign w:val="bottom"/>
          </w:tcPr>
          <w:p w:rsidR="00A347DB" w:rsidRDefault="002B6CF8">
            <w:pPr>
              <w:spacing w:after="0" w:line="240" w:lineRule="auto"/>
              <w:jc w:val="right"/>
            </w:pPr>
            <w:r>
              <w:rPr>
                <w:rFonts w:ascii="Times New Roman" w:hAnsi="Times New Roman" w:cs="Times New Roman"/>
                <w:sz w:val="18"/>
              </w:rPr>
              <w:t>27.800</w:t>
            </w:r>
          </w:p>
        </w:tc>
        <w:tc>
          <w:tcPr>
            <w:tcW w:w="800" w:type="pct"/>
            <w:vAlign w:val="bottom"/>
          </w:tcPr>
          <w:p w:rsidR="00A347DB" w:rsidRDefault="002B6CF8">
            <w:pPr>
              <w:spacing w:after="0" w:line="240" w:lineRule="auto"/>
              <w:jc w:val="right"/>
            </w:pPr>
            <w:r>
              <w:rPr>
                <w:rFonts w:ascii="Times New Roman" w:hAnsi="Times New Roman" w:cs="Times New Roman"/>
                <w:sz w:val="18"/>
              </w:rPr>
              <w:t>50.000</w:t>
            </w:r>
          </w:p>
        </w:tc>
        <w:tc>
          <w:tcPr>
            <w:tcW w:w="800" w:type="pct"/>
            <w:vAlign w:val="bottom"/>
          </w:tcPr>
          <w:p w:rsidR="00A347DB" w:rsidRDefault="002B6CF8">
            <w:pPr>
              <w:spacing w:after="0" w:line="240" w:lineRule="auto"/>
              <w:jc w:val="right"/>
            </w:pPr>
            <w:r>
              <w:rPr>
                <w:rFonts w:ascii="Times New Roman" w:hAnsi="Times New Roman" w:cs="Times New Roman"/>
                <w:sz w:val="18"/>
              </w:rPr>
              <w:t>31.379</w:t>
            </w:r>
          </w:p>
        </w:tc>
        <w:tc>
          <w:tcPr>
            <w:tcW w:w="500" w:type="pct"/>
            <w:vAlign w:val="bottom"/>
          </w:tcPr>
          <w:p w:rsidR="00A347DB" w:rsidRDefault="002B6CF8">
            <w:pPr>
              <w:spacing w:after="0" w:line="240" w:lineRule="auto"/>
              <w:jc w:val="right"/>
            </w:pPr>
            <w:r>
              <w:rPr>
                <w:rFonts w:ascii="Times New Roman" w:hAnsi="Times New Roman" w:cs="Times New Roman"/>
                <w:sz w:val="18"/>
              </w:rPr>
              <w:t>112,9</w:t>
            </w:r>
          </w:p>
        </w:tc>
        <w:tc>
          <w:tcPr>
            <w:tcW w:w="500" w:type="pct"/>
            <w:vAlign w:val="bottom"/>
          </w:tcPr>
          <w:p w:rsidR="00A347DB" w:rsidRDefault="002B6CF8">
            <w:pPr>
              <w:spacing w:after="0" w:line="240" w:lineRule="auto"/>
              <w:jc w:val="right"/>
            </w:pPr>
            <w:r>
              <w:rPr>
                <w:rFonts w:ascii="Times New Roman" w:hAnsi="Times New Roman" w:cs="Times New Roman"/>
                <w:sz w:val="18"/>
              </w:rPr>
              <w:t>62,8</w:t>
            </w:r>
          </w:p>
        </w:tc>
      </w:tr>
      <w:tr w:rsidR="00A347DB">
        <w:tc>
          <w:tcPr>
            <w:tcW w:w="1400" w:type="pct"/>
            <w:vAlign w:val="bottom"/>
          </w:tcPr>
          <w:p w:rsidR="00A347DB" w:rsidRDefault="002B6CF8">
            <w:pPr>
              <w:spacing w:after="0" w:line="240" w:lineRule="auto"/>
            </w:pPr>
            <w:r>
              <w:rPr>
                <w:rFonts w:ascii="Times New Roman" w:hAnsi="Times New Roman" w:cs="Times New Roman"/>
                <w:b/>
                <w:sz w:val="18"/>
              </w:rPr>
              <w:t>UKUPNI PRIHODI</w:t>
            </w:r>
          </w:p>
        </w:tc>
        <w:tc>
          <w:tcPr>
            <w:tcW w:w="800" w:type="pct"/>
            <w:vAlign w:val="bottom"/>
          </w:tcPr>
          <w:p w:rsidR="00A347DB" w:rsidRDefault="002B6CF8">
            <w:pPr>
              <w:spacing w:after="0" w:line="240" w:lineRule="auto"/>
              <w:jc w:val="right"/>
            </w:pPr>
            <w:r>
              <w:rPr>
                <w:rFonts w:ascii="Times New Roman" w:hAnsi="Times New Roman" w:cs="Times New Roman"/>
                <w:b/>
                <w:sz w:val="18"/>
              </w:rPr>
              <w:t>3.594.250</w:t>
            </w:r>
          </w:p>
        </w:tc>
        <w:tc>
          <w:tcPr>
            <w:tcW w:w="800" w:type="pct"/>
            <w:vAlign w:val="bottom"/>
          </w:tcPr>
          <w:p w:rsidR="00A347DB" w:rsidRDefault="002B6CF8">
            <w:pPr>
              <w:spacing w:after="0" w:line="240" w:lineRule="auto"/>
              <w:jc w:val="right"/>
            </w:pPr>
            <w:r>
              <w:rPr>
                <w:rFonts w:ascii="Times New Roman" w:hAnsi="Times New Roman" w:cs="Times New Roman"/>
                <w:b/>
                <w:sz w:val="18"/>
              </w:rPr>
              <w:t>11.361.936</w:t>
            </w:r>
          </w:p>
        </w:tc>
        <w:tc>
          <w:tcPr>
            <w:tcW w:w="800" w:type="pct"/>
            <w:vAlign w:val="bottom"/>
          </w:tcPr>
          <w:p w:rsidR="00A347DB" w:rsidRDefault="002B6CF8">
            <w:pPr>
              <w:spacing w:after="0" w:line="240" w:lineRule="auto"/>
              <w:jc w:val="right"/>
            </w:pPr>
            <w:r>
              <w:rPr>
                <w:rFonts w:ascii="Times New Roman" w:hAnsi="Times New Roman" w:cs="Times New Roman"/>
                <w:b/>
                <w:sz w:val="18"/>
              </w:rPr>
              <w:t>610.500</w:t>
            </w:r>
          </w:p>
        </w:tc>
        <w:tc>
          <w:tcPr>
            <w:tcW w:w="500" w:type="pct"/>
            <w:vAlign w:val="bottom"/>
          </w:tcPr>
          <w:p w:rsidR="00A347DB" w:rsidRDefault="002B6CF8">
            <w:pPr>
              <w:spacing w:after="0" w:line="240" w:lineRule="auto"/>
              <w:jc w:val="right"/>
            </w:pPr>
            <w:r>
              <w:rPr>
                <w:rFonts w:ascii="Times New Roman" w:hAnsi="Times New Roman" w:cs="Times New Roman"/>
                <w:b/>
                <w:sz w:val="18"/>
              </w:rPr>
              <w:t>17,0</w:t>
            </w:r>
          </w:p>
        </w:tc>
        <w:tc>
          <w:tcPr>
            <w:tcW w:w="500" w:type="pct"/>
            <w:vAlign w:val="bottom"/>
          </w:tcPr>
          <w:p w:rsidR="00A347DB" w:rsidRDefault="002B6CF8">
            <w:pPr>
              <w:spacing w:after="0" w:line="240" w:lineRule="auto"/>
              <w:jc w:val="right"/>
            </w:pPr>
            <w:r>
              <w:rPr>
                <w:rFonts w:ascii="Times New Roman" w:hAnsi="Times New Roman" w:cs="Times New Roman"/>
                <w:b/>
                <w:sz w:val="18"/>
              </w:rPr>
              <w:t>5,4</w:t>
            </w:r>
          </w:p>
        </w:tc>
      </w:tr>
    </w:tbl>
    <w:p w:rsidR="00A347DB" w:rsidRDefault="00A347DB">
      <w:pPr>
        <w:spacing w:after="0" w:line="240" w:lineRule="auto"/>
      </w:pPr>
    </w:p>
    <w:p w:rsidR="00A347DB" w:rsidRDefault="002B6CF8">
      <w:pPr>
        <w:spacing w:line="240" w:lineRule="auto"/>
        <w:jc w:val="both"/>
      </w:pPr>
      <w:r>
        <w:rPr>
          <w:rFonts w:ascii="Times New Roman" w:hAnsi="Times New Roman" w:cs="Times New Roman"/>
          <w:b/>
          <w:sz w:val="24"/>
        </w:rPr>
        <w:t xml:space="preserve">PRIHODI POSLOVANJA </w:t>
      </w:r>
    </w:p>
    <w:p w:rsidR="00A347DB" w:rsidRDefault="002B6CF8">
      <w:pPr>
        <w:spacing w:line="240" w:lineRule="auto"/>
        <w:jc w:val="both"/>
      </w:pPr>
      <w:r>
        <w:rPr>
          <w:rFonts w:ascii="Times New Roman" w:hAnsi="Times New Roman" w:cs="Times New Roman"/>
          <w:color w:val="231F20"/>
          <w:sz w:val="24"/>
        </w:rPr>
        <w:t>Centar za restrukturiranje i prodaju (</w:t>
      </w:r>
      <w:r>
        <w:rPr>
          <w:rFonts w:ascii="Times New Roman" w:hAnsi="Times New Roman" w:cs="Times New Roman"/>
          <w:color w:val="000000"/>
          <w:sz w:val="24"/>
        </w:rPr>
        <w:t xml:space="preserve">dalje u tekstu: </w:t>
      </w:r>
      <w:r>
        <w:rPr>
          <w:rFonts w:ascii="Times New Roman" w:hAnsi="Times New Roman" w:cs="Times New Roman"/>
          <w:sz w:val="24"/>
        </w:rPr>
        <w:t>Centar) je za 2025. godinu planirao prihode poslovanja u iznosu od 11.311.936,00 eura, a za izvještajno razdoblje od siječnja do kraja lipnja 2025. godine isti su ostvareni u iznosu od 579.120,98 eura ili 5,12% plana i odnose se na:</w:t>
      </w:r>
    </w:p>
    <w:p w:rsidR="00A347DB" w:rsidRDefault="002B6CF8">
      <w:pPr>
        <w:numPr>
          <w:ilvl w:val="0"/>
          <w:numId w:val="1"/>
        </w:numPr>
        <w:spacing w:line="240" w:lineRule="auto"/>
        <w:jc w:val="both"/>
      </w:pPr>
      <w:r>
        <w:rPr>
          <w:rFonts w:ascii="Times New Roman" w:hAnsi="Times New Roman" w:cs="Times New Roman"/>
          <w:b/>
          <w:sz w:val="24"/>
        </w:rPr>
        <w:t>Prihodi od imovine</w:t>
      </w:r>
      <w:r>
        <w:rPr>
          <w:rFonts w:ascii="Times New Roman" w:hAnsi="Times New Roman" w:cs="Times New Roman"/>
          <w:sz w:val="24"/>
        </w:rPr>
        <w:t xml:space="preserve"> - ostvareni su u iznosu od 501.458,85 eura, odnose se na prihode od financijske imovine u iznosu od 482.028,53 eura (prihodi od kamata na oročena sredstva i depozite po viđenju, prihodi od zateznih kamata, prihode od dividendi, te ostale prihode od financijske imovine), na prihode od nefinancijske imovine u iznosu od 17.817,11 eura (prihodi od zakupa poslovnih prostora i najma stanova u vlasništvu RH, a koji su bili na upravljanju u pravnim prednicima Centra) te na prihode od kamata na dane zajmove u iznosu od 1.613,21 eura (prihodi od kamata po ranije danim zajmovima te sklopljenim predstečajnim nagodbama i stečajnim postupcima);</w:t>
      </w:r>
    </w:p>
    <w:p w:rsidR="00A347DB" w:rsidRDefault="002B6CF8">
      <w:pPr>
        <w:numPr>
          <w:ilvl w:val="0"/>
          <w:numId w:val="1"/>
        </w:numPr>
        <w:spacing w:line="240" w:lineRule="auto"/>
        <w:jc w:val="both"/>
      </w:pPr>
      <w:r>
        <w:rPr>
          <w:rFonts w:ascii="Times New Roman" w:hAnsi="Times New Roman" w:cs="Times New Roman"/>
          <w:b/>
          <w:sz w:val="24"/>
        </w:rPr>
        <w:t>Prihodi od prodaje proizvoda i robe te pruženih usluga, prihodi od donacija te povrati po protestiranim jamstvima</w:t>
      </w:r>
      <w:r>
        <w:rPr>
          <w:rFonts w:ascii="Times New Roman" w:hAnsi="Times New Roman" w:cs="Times New Roman"/>
          <w:sz w:val="24"/>
        </w:rPr>
        <w:t xml:space="preserve"> - ostvareni su u ukupnom iznosu od 14.099,54 eura, a odnose na prihode od naknade za realiziranu prodaju dionica/poslovnih udjela i naknade za naplaćenu dividendu za trgovačka društva iz portfelja Republike Hrvatske i Hrvatskog zavoda za mirovinsko osiguranje sukladno odredbama Odluke o visini naknade za upravljanje i raspolaganje dionicama i udjelima kojima upravlja Centar za restrukturiranje i prodaju („Narodne novine“ broj 39/2019), na prihode od izdanih iskaza nekretnina i na prihode od pruženih usluga fotokopiranja;</w:t>
      </w:r>
    </w:p>
    <w:p w:rsidR="00A347DB" w:rsidRDefault="002B6CF8">
      <w:pPr>
        <w:numPr>
          <w:ilvl w:val="0"/>
          <w:numId w:val="1"/>
        </w:numPr>
        <w:spacing w:line="240" w:lineRule="auto"/>
        <w:jc w:val="both"/>
      </w:pPr>
      <w:r>
        <w:rPr>
          <w:rFonts w:ascii="Times New Roman" w:hAnsi="Times New Roman" w:cs="Times New Roman"/>
          <w:b/>
          <w:sz w:val="24"/>
        </w:rPr>
        <w:t>Kazne, upravne mjere i ostali prihodi</w:t>
      </w:r>
      <w:r>
        <w:rPr>
          <w:rFonts w:ascii="Times New Roman" w:hAnsi="Times New Roman" w:cs="Times New Roman"/>
          <w:sz w:val="24"/>
        </w:rPr>
        <w:t xml:space="preserve"> - ostvareni su u iznosu od 63.562,59 eura, a odnose se na prihode od parničnih troškova (1.262,02 eura), prihode po sklopljenim nagodbama i sporazumima te prihode iz predstečaja (8.751,43 eura), prihode od režijskih troškova koji se u najvećoj mjeri odnose na refundaciju troškova sukladno Sporazumu o raspodjeli i načinu plaćanja troškova nekretnine u Zagrebu, Ivana Lučića 6-8 od 25.07.2017. godine (46.640,55 eura), prihode od nadoknade troškova od upravljanja dionicama i poslovnim udjelima (6.787,76 eura) te na ostale prihode (120,83 eura).</w:t>
      </w:r>
    </w:p>
    <w:p w:rsidR="00A347DB" w:rsidRDefault="002B6CF8">
      <w:pPr>
        <w:spacing w:line="240" w:lineRule="auto"/>
        <w:jc w:val="both"/>
      </w:pPr>
      <w:r>
        <w:rPr>
          <w:rFonts w:ascii="Times New Roman" w:hAnsi="Times New Roman" w:cs="Times New Roman"/>
          <w:sz w:val="24"/>
        </w:rPr>
        <w:t xml:space="preserve">U razdoblju od siječnja do kraja lipnja 2025. godine Centar je realizirao 5,12% planiranih prihoda poslovanja iz razloga što se glavnina naplate prihoda od dividendi očekuje u drugoj polovici 2025. godine. </w:t>
      </w:r>
    </w:p>
    <w:p w:rsidR="00A347DB" w:rsidRDefault="002B6CF8">
      <w:pPr>
        <w:spacing w:line="240" w:lineRule="auto"/>
        <w:ind w:left="566"/>
        <w:jc w:val="both"/>
      </w:pPr>
      <w:r>
        <w:rPr>
          <w:rFonts w:ascii="Times New Roman" w:hAnsi="Times New Roman" w:cs="Times New Roman"/>
          <w:b/>
          <w:sz w:val="24"/>
        </w:rPr>
        <w:lastRenderedPageBreak/>
        <w:t> </w:t>
      </w:r>
    </w:p>
    <w:p w:rsidR="00A347DB" w:rsidRDefault="002B6CF8">
      <w:pPr>
        <w:spacing w:line="240" w:lineRule="auto"/>
        <w:jc w:val="both"/>
      </w:pPr>
      <w:r>
        <w:rPr>
          <w:rFonts w:ascii="Times New Roman" w:hAnsi="Times New Roman" w:cs="Times New Roman"/>
          <w:b/>
          <w:sz w:val="24"/>
        </w:rPr>
        <w:t>PRIHODI OD PRODAJE NEFINANCIJSKE IMOVINE</w:t>
      </w:r>
    </w:p>
    <w:p w:rsidR="00A347DB" w:rsidRDefault="002B6CF8">
      <w:pPr>
        <w:spacing w:line="240" w:lineRule="auto"/>
        <w:jc w:val="both"/>
      </w:pPr>
      <w:r>
        <w:rPr>
          <w:rFonts w:ascii="Times New Roman" w:hAnsi="Times New Roman" w:cs="Times New Roman"/>
          <w:sz w:val="24"/>
        </w:rPr>
        <w:t>Centar je za 2025. godinu planirao prihode od prodaje nefinancijske imovine u iznosu od 50.000,00 eura, a za izvještajno razdoblje od siječnja do kraja lipnja 2025. godine isti su ostvareni u iznosu od 31.378,94 eura ili 62,76% plana i odnose se na:</w:t>
      </w:r>
    </w:p>
    <w:p w:rsidR="00A347DB" w:rsidRDefault="002B6CF8">
      <w:pPr>
        <w:numPr>
          <w:ilvl w:val="0"/>
          <w:numId w:val="2"/>
        </w:numPr>
        <w:spacing w:line="240" w:lineRule="auto"/>
        <w:jc w:val="both"/>
      </w:pPr>
      <w:r>
        <w:rPr>
          <w:rFonts w:ascii="Times New Roman" w:hAnsi="Times New Roman" w:cs="Times New Roman"/>
          <w:b/>
          <w:sz w:val="24"/>
        </w:rPr>
        <w:t xml:space="preserve">Prihodi od prodaje neproizvedene dugotrajne imovine </w:t>
      </w:r>
      <w:r>
        <w:rPr>
          <w:rFonts w:ascii="Times New Roman" w:hAnsi="Times New Roman" w:cs="Times New Roman"/>
          <w:sz w:val="24"/>
        </w:rPr>
        <w:t>- ostvareni su u iznosu od 25.321,00 eura, a odnose se na prihode od prodaje zemljišta u vlasništvu Centra;</w:t>
      </w:r>
    </w:p>
    <w:p w:rsidR="00A347DB" w:rsidRDefault="002B6CF8">
      <w:pPr>
        <w:numPr>
          <w:ilvl w:val="0"/>
          <w:numId w:val="2"/>
        </w:numPr>
        <w:spacing w:line="240" w:lineRule="auto"/>
        <w:jc w:val="both"/>
      </w:pPr>
      <w:r>
        <w:rPr>
          <w:rFonts w:ascii="Times New Roman" w:hAnsi="Times New Roman" w:cs="Times New Roman"/>
          <w:b/>
          <w:sz w:val="24"/>
        </w:rPr>
        <w:t>Prihodi od prodaje proizvedene dugotrajne imovine</w:t>
      </w:r>
      <w:r>
        <w:rPr>
          <w:rFonts w:ascii="Times New Roman" w:hAnsi="Times New Roman" w:cs="Times New Roman"/>
          <w:sz w:val="24"/>
        </w:rPr>
        <w:t xml:space="preserve"> - ostvareni su u iznosu od 6.057,94 eura, a odnose se na prihode od stanova na kojima postoji stanarsko pravo po kojima su potraživanja prenesena na pravne prednike Centra temeljem rješenja trgovačkih sudova.</w:t>
      </w:r>
    </w:p>
    <w:p w:rsidR="00A347DB" w:rsidRDefault="002B6CF8">
      <w:pPr>
        <w:spacing w:line="360" w:lineRule="auto"/>
      </w:pPr>
      <w:r>
        <w:rPr>
          <w:rFonts w:ascii="Times New Roman" w:hAnsi="Times New Roman" w:cs="Times New Roman"/>
          <w:b/>
          <w:sz w:val="24"/>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2718"/>
        <w:gridCol w:w="1553"/>
        <w:gridCol w:w="1553"/>
        <w:gridCol w:w="1552"/>
        <w:gridCol w:w="971"/>
        <w:gridCol w:w="971"/>
      </w:tblGrid>
      <w:tr w:rsidR="00A347DB">
        <w:tc>
          <w:tcPr>
            <w:tcW w:w="14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2024.</w:t>
            </w:r>
          </w:p>
        </w:tc>
        <w:tc>
          <w:tcPr>
            <w:tcW w:w="8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8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2025.</w:t>
            </w:r>
          </w:p>
        </w:tc>
        <w:tc>
          <w:tcPr>
            <w:tcW w:w="5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INDEKS</w:t>
            </w:r>
          </w:p>
        </w:tc>
      </w:tr>
      <w:tr w:rsidR="00A347DB">
        <w:tc>
          <w:tcPr>
            <w:tcW w:w="1400" w:type="pct"/>
            <w:shd w:val="clear" w:color="auto" w:fill="BCDFFB"/>
            <w:vAlign w:val="center"/>
          </w:tcPr>
          <w:p w:rsidR="00A347DB" w:rsidRDefault="002B6CF8">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A347DB" w:rsidRDefault="002B6CF8">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A347DB" w:rsidRDefault="002B6CF8">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A347DB" w:rsidRDefault="002B6CF8">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A347DB" w:rsidRDefault="002B6CF8">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A347DB" w:rsidRDefault="002B6CF8">
            <w:pPr>
              <w:spacing w:after="0" w:line="240" w:lineRule="auto"/>
              <w:jc w:val="center"/>
            </w:pPr>
            <w:r>
              <w:rPr>
                <w:rFonts w:ascii="Times New Roman" w:hAnsi="Times New Roman" w:cs="Times New Roman"/>
                <w:sz w:val="14"/>
              </w:rPr>
              <w:t>6=4/3</w:t>
            </w:r>
          </w:p>
        </w:tc>
      </w:tr>
      <w:tr w:rsidR="00A347DB">
        <w:tc>
          <w:tcPr>
            <w:tcW w:w="1400" w:type="pct"/>
            <w:vAlign w:val="center"/>
          </w:tcPr>
          <w:p w:rsidR="00A347DB" w:rsidRDefault="002B6CF8">
            <w:pPr>
              <w:spacing w:after="0" w:line="240" w:lineRule="auto"/>
            </w:pPr>
            <w:r>
              <w:rPr>
                <w:rFonts w:ascii="Times New Roman" w:hAnsi="Times New Roman" w:cs="Times New Roman"/>
                <w:sz w:val="18"/>
              </w:rPr>
              <w:t>3 RASHODI POSLOVANJA</w:t>
            </w:r>
          </w:p>
        </w:tc>
        <w:tc>
          <w:tcPr>
            <w:tcW w:w="800" w:type="pct"/>
            <w:vAlign w:val="bottom"/>
          </w:tcPr>
          <w:p w:rsidR="00A347DB" w:rsidRDefault="002B6CF8">
            <w:pPr>
              <w:spacing w:after="0" w:line="240" w:lineRule="auto"/>
              <w:jc w:val="right"/>
            </w:pPr>
            <w:r>
              <w:rPr>
                <w:rFonts w:ascii="Times New Roman" w:hAnsi="Times New Roman" w:cs="Times New Roman"/>
                <w:sz w:val="18"/>
              </w:rPr>
              <w:t>4.839.907</w:t>
            </w:r>
          </w:p>
        </w:tc>
        <w:tc>
          <w:tcPr>
            <w:tcW w:w="800" w:type="pct"/>
            <w:vAlign w:val="bottom"/>
          </w:tcPr>
          <w:p w:rsidR="00A347DB" w:rsidRDefault="002B6CF8">
            <w:pPr>
              <w:spacing w:after="0" w:line="240" w:lineRule="auto"/>
              <w:jc w:val="right"/>
            </w:pPr>
            <w:r>
              <w:rPr>
                <w:rFonts w:ascii="Times New Roman" w:hAnsi="Times New Roman" w:cs="Times New Roman"/>
                <w:sz w:val="18"/>
              </w:rPr>
              <w:t>7.766.000</w:t>
            </w:r>
          </w:p>
        </w:tc>
        <w:tc>
          <w:tcPr>
            <w:tcW w:w="800" w:type="pct"/>
            <w:vAlign w:val="bottom"/>
          </w:tcPr>
          <w:p w:rsidR="00A347DB" w:rsidRDefault="002B6CF8">
            <w:pPr>
              <w:spacing w:after="0" w:line="240" w:lineRule="auto"/>
              <w:jc w:val="right"/>
            </w:pPr>
            <w:r>
              <w:rPr>
                <w:rFonts w:ascii="Times New Roman" w:hAnsi="Times New Roman" w:cs="Times New Roman"/>
                <w:sz w:val="18"/>
              </w:rPr>
              <w:t>1.737.974</w:t>
            </w:r>
          </w:p>
        </w:tc>
        <w:tc>
          <w:tcPr>
            <w:tcW w:w="500" w:type="pct"/>
            <w:vAlign w:val="bottom"/>
          </w:tcPr>
          <w:p w:rsidR="00A347DB" w:rsidRDefault="002B6CF8">
            <w:pPr>
              <w:spacing w:after="0" w:line="240" w:lineRule="auto"/>
              <w:jc w:val="right"/>
            </w:pPr>
            <w:r>
              <w:rPr>
                <w:rFonts w:ascii="Times New Roman" w:hAnsi="Times New Roman" w:cs="Times New Roman"/>
                <w:sz w:val="18"/>
              </w:rPr>
              <w:t>35,9</w:t>
            </w:r>
          </w:p>
        </w:tc>
        <w:tc>
          <w:tcPr>
            <w:tcW w:w="500" w:type="pct"/>
            <w:vAlign w:val="bottom"/>
          </w:tcPr>
          <w:p w:rsidR="00A347DB" w:rsidRDefault="002B6CF8">
            <w:pPr>
              <w:spacing w:after="0" w:line="240" w:lineRule="auto"/>
              <w:jc w:val="right"/>
            </w:pPr>
            <w:r>
              <w:rPr>
                <w:rFonts w:ascii="Times New Roman" w:hAnsi="Times New Roman" w:cs="Times New Roman"/>
                <w:sz w:val="18"/>
              </w:rPr>
              <w:t>22,4</w:t>
            </w:r>
          </w:p>
        </w:tc>
      </w:tr>
      <w:tr w:rsidR="00A347DB">
        <w:tc>
          <w:tcPr>
            <w:tcW w:w="1400" w:type="pct"/>
            <w:vAlign w:val="bottom"/>
          </w:tcPr>
          <w:p w:rsidR="00A347DB" w:rsidRDefault="002B6CF8">
            <w:pPr>
              <w:spacing w:after="0" w:line="240" w:lineRule="auto"/>
            </w:pPr>
            <w:r>
              <w:rPr>
                <w:rFonts w:ascii="Times New Roman" w:hAnsi="Times New Roman" w:cs="Times New Roman"/>
                <w:sz w:val="18"/>
              </w:rPr>
              <w:t>4 RASHODI ZA NABAVU NEFINANCIJSKE IMOVINE</w:t>
            </w:r>
          </w:p>
        </w:tc>
        <w:tc>
          <w:tcPr>
            <w:tcW w:w="800" w:type="pct"/>
            <w:vAlign w:val="bottom"/>
          </w:tcPr>
          <w:p w:rsidR="00A347DB" w:rsidRDefault="002B6CF8">
            <w:pPr>
              <w:spacing w:after="0" w:line="240" w:lineRule="auto"/>
              <w:jc w:val="right"/>
            </w:pPr>
            <w:r>
              <w:rPr>
                <w:rFonts w:ascii="Times New Roman" w:hAnsi="Times New Roman" w:cs="Times New Roman"/>
                <w:sz w:val="18"/>
              </w:rPr>
              <w:t>6.513</w:t>
            </w:r>
          </w:p>
        </w:tc>
        <w:tc>
          <w:tcPr>
            <w:tcW w:w="800" w:type="pct"/>
            <w:vAlign w:val="bottom"/>
          </w:tcPr>
          <w:p w:rsidR="00A347DB" w:rsidRDefault="002B6CF8">
            <w:pPr>
              <w:spacing w:after="0" w:line="240" w:lineRule="auto"/>
              <w:jc w:val="right"/>
            </w:pPr>
            <w:r>
              <w:rPr>
                <w:rFonts w:ascii="Times New Roman" w:hAnsi="Times New Roman" w:cs="Times New Roman"/>
                <w:sz w:val="18"/>
              </w:rPr>
              <w:t>425.000</w:t>
            </w:r>
          </w:p>
        </w:tc>
        <w:tc>
          <w:tcPr>
            <w:tcW w:w="800" w:type="pct"/>
            <w:vAlign w:val="bottom"/>
          </w:tcPr>
          <w:p w:rsidR="00A347DB" w:rsidRDefault="002B6CF8">
            <w:pPr>
              <w:spacing w:after="0" w:line="240" w:lineRule="auto"/>
              <w:jc w:val="right"/>
            </w:pPr>
            <w:r>
              <w:rPr>
                <w:rFonts w:ascii="Times New Roman" w:hAnsi="Times New Roman" w:cs="Times New Roman"/>
                <w:sz w:val="18"/>
              </w:rPr>
              <w:t>14.655</w:t>
            </w:r>
          </w:p>
        </w:tc>
        <w:tc>
          <w:tcPr>
            <w:tcW w:w="500" w:type="pct"/>
            <w:vAlign w:val="bottom"/>
          </w:tcPr>
          <w:p w:rsidR="00A347DB" w:rsidRDefault="002B6CF8">
            <w:pPr>
              <w:spacing w:after="0" w:line="240" w:lineRule="auto"/>
              <w:jc w:val="right"/>
            </w:pPr>
            <w:r>
              <w:rPr>
                <w:rFonts w:ascii="Times New Roman" w:hAnsi="Times New Roman" w:cs="Times New Roman"/>
                <w:sz w:val="18"/>
              </w:rPr>
              <w:t>225,0</w:t>
            </w:r>
          </w:p>
        </w:tc>
        <w:tc>
          <w:tcPr>
            <w:tcW w:w="500" w:type="pct"/>
            <w:vAlign w:val="bottom"/>
          </w:tcPr>
          <w:p w:rsidR="00A347DB" w:rsidRDefault="002B6CF8">
            <w:pPr>
              <w:spacing w:after="0" w:line="240" w:lineRule="auto"/>
              <w:jc w:val="right"/>
            </w:pPr>
            <w:r>
              <w:rPr>
                <w:rFonts w:ascii="Times New Roman" w:hAnsi="Times New Roman" w:cs="Times New Roman"/>
                <w:sz w:val="18"/>
              </w:rPr>
              <w:t>3,4</w:t>
            </w:r>
          </w:p>
        </w:tc>
      </w:tr>
      <w:tr w:rsidR="00A347DB">
        <w:tc>
          <w:tcPr>
            <w:tcW w:w="1400" w:type="pct"/>
            <w:vAlign w:val="bottom"/>
          </w:tcPr>
          <w:p w:rsidR="00A347DB" w:rsidRDefault="002B6CF8">
            <w:pPr>
              <w:spacing w:after="0" w:line="240" w:lineRule="auto"/>
            </w:pPr>
            <w:r>
              <w:rPr>
                <w:rFonts w:ascii="Times New Roman" w:hAnsi="Times New Roman" w:cs="Times New Roman"/>
                <w:b/>
                <w:sz w:val="18"/>
              </w:rPr>
              <w:t>UKUPNI RASHODI</w:t>
            </w:r>
          </w:p>
        </w:tc>
        <w:tc>
          <w:tcPr>
            <w:tcW w:w="800" w:type="pct"/>
            <w:vAlign w:val="bottom"/>
          </w:tcPr>
          <w:p w:rsidR="00A347DB" w:rsidRDefault="002B6CF8">
            <w:pPr>
              <w:spacing w:after="0" w:line="240" w:lineRule="auto"/>
              <w:jc w:val="right"/>
            </w:pPr>
            <w:r>
              <w:rPr>
                <w:rFonts w:ascii="Times New Roman" w:hAnsi="Times New Roman" w:cs="Times New Roman"/>
                <w:b/>
                <w:sz w:val="18"/>
              </w:rPr>
              <w:t>4.846.420</w:t>
            </w:r>
          </w:p>
        </w:tc>
        <w:tc>
          <w:tcPr>
            <w:tcW w:w="800" w:type="pct"/>
            <w:vAlign w:val="bottom"/>
          </w:tcPr>
          <w:p w:rsidR="00A347DB" w:rsidRDefault="002B6CF8">
            <w:pPr>
              <w:spacing w:after="0" w:line="240" w:lineRule="auto"/>
              <w:jc w:val="right"/>
            </w:pPr>
            <w:r>
              <w:rPr>
                <w:rFonts w:ascii="Times New Roman" w:hAnsi="Times New Roman" w:cs="Times New Roman"/>
                <w:b/>
                <w:sz w:val="18"/>
              </w:rPr>
              <w:t>8.191.000</w:t>
            </w:r>
          </w:p>
        </w:tc>
        <w:tc>
          <w:tcPr>
            <w:tcW w:w="800" w:type="pct"/>
            <w:vAlign w:val="bottom"/>
          </w:tcPr>
          <w:p w:rsidR="00A347DB" w:rsidRDefault="002B6CF8">
            <w:pPr>
              <w:spacing w:after="0" w:line="240" w:lineRule="auto"/>
              <w:jc w:val="right"/>
            </w:pPr>
            <w:r>
              <w:rPr>
                <w:rFonts w:ascii="Times New Roman" w:hAnsi="Times New Roman" w:cs="Times New Roman"/>
                <w:b/>
                <w:sz w:val="18"/>
              </w:rPr>
              <w:t>1.752.629</w:t>
            </w:r>
          </w:p>
        </w:tc>
        <w:tc>
          <w:tcPr>
            <w:tcW w:w="500" w:type="pct"/>
            <w:vAlign w:val="bottom"/>
          </w:tcPr>
          <w:p w:rsidR="00A347DB" w:rsidRDefault="002B6CF8">
            <w:pPr>
              <w:spacing w:after="0" w:line="240" w:lineRule="auto"/>
              <w:jc w:val="right"/>
            </w:pPr>
            <w:r>
              <w:rPr>
                <w:rFonts w:ascii="Times New Roman" w:hAnsi="Times New Roman" w:cs="Times New Roman"/>
                <w:b/>
                <w:sz w:val="18"/>
              </w:rPr>
              <w:t>36,2</w:t>
            </w:r>
          </w:p>
        </w:tc>
        <w:tc>
          <w:tcPr>
            <w:tcW w:w="500" w:type="pct"/>
            <w:vAlign w:val="bottom"/>
          </w:tcPr>
          <w:p w:rsidR="00A347DB" w:rsidRDefault="002B6CF8">
            <w:pPr>
              <w:spacing w:after="0" w:line="240" w:lineRule="auto"/>
              <w:jc w:val="right"/>
            </w:pPr>
            <w:r>
              <w:rPr>
                <w:rFonts w:ascii="Times New Roman" w:hAnsi="Times New Roman" w:cs="Times New Roman"/>
                <w:b/>
                <w:sz w:val="18"/>
              </w:rPr>
              <w:t>21,4</w:t>
            </w:r>
          </w:p>
        </w:tc>
      </w:tr>
    </w:tbl>
    <w:p w:rsidR="00A347DB" w:rsidRDefault="00A347DB">
      <w:pPr>
        <w:spacing w:after="0" w:line="240" w:lineRule="auto"/>
      </w:pPr>
    </w:p>
    <w:p w:rsidR="00A347DB" w:rsidRDefault="002B6CF8">
      <w:pPr>
        <w:spacing w:line="240" w:lineRule="auto"/>
        <w:jc w:val="both"/>
      </w:pPr>
      <w:r>
        <w:rPr>
          <w:rFonts w:ascii="Times New Roman" w:hAnsi="Times New Roman" w:cs="Times New Roman"/>
          <w:b/>
          <w:sz w:val="24"/>
        </w:rPr>
        <w:t>RASHODI POSLOVANJA</w:t>
      </w:r>
    </w:p>
    <w:p w:rsidR="00A347DB" w:rsidRDefault="002B6CF8">
      <w:pPr>
        <w:spacing w:line="240" w:lineRule="auto"/>
        <w:jc w:val="both"/>
      </w:pPr>
      <w:r>
        <w:rPr>
          <w:rFonts w:ascii="Times New Roman" w:hAnsi="Times New Roman" w:cs="Times New Roman"/>
          <w:sz w:val="24"/>
        </w:rPr>
        <w:t>Centar je za 2025. godinu planirao rashode poslovanja u iznosu od 7.766.000,00 eura, a za izvještajno razdoblje od siječnja do kraja lipnja 2025. godine isti su ostvareni u iznosu od 1.737.973,92 eura ili 22,38% plana i odnose se na:</w:t>
      </w:r>
    </w:p>
    <w:p w:rsidR="00A347DB" w:rsidRDefault="002B6CF8">
      <w:pPr>
        <w:numPr>
          <w:ilvl w:val="0"/>
          <w:numId w:val="3"/>
        </w:numPr>
        <w:spacing w:line="240" w:lineRule="auto"/>
        <w:jc w:val="both"/>
      </w:pPr>
      <w:r>
        <w:rPr>
          <w:rFonts w:ascii="Times New Roman" w:hAnsi="Times New Roman" w:cs="Times New Roman"/>
          <w:b/>
          <w:sz w:val="24"/>
        </w:rPr>
        <w:t>Rashodi za zaposlene</w:t>
      </w:r>
      <w:r>
        <w:rPr>
          <w:rFonts w:ascii="Times New Roman" w:hAnsi="Times New Roman" w:cs="Times New Roman"/>
          <w:sz w:val="24"/>
        </w:rPr>
        <w:t xml:space="preserve"> - ostvareni su u iznosu od 1.186.193,92 eura, a odnose se na bruto plaće i doprinose te na isplate jubilarnih nagrada, pomoći i slično;</w:t>
      </w:r>
    </w:p>
    <w:p w:rsidR="00A347DB" w:rsidRDefault="002B6CF8">
      <w:pPr>
        <w:numPr>
          <w:ilvl w:val="0"/>
          <w:numId w:val="3"/>
        </w:numPr>
        <w:spacing w:line="240" w:lineRule="auto"/>
        <w:jc w:val="both"/>
      </w:pPr>
      <w:r>
        <w:rPr>
          <w:rFonts w:ascii="Times New Roman" w:hAnsi="Times New Roman" w:cs="Times New Roman"/>
          <w:b/>
          <w:sz w:val="24"/>
        </w:rPr>
        <w:t>Materijalni rashodi</w:t>
      </w:r>
      <w:r>
        <w:rPr>
          <w:rFonts w:ascii="Times New Roman" w:hAnsi="Times New Roman" w:cs="Times New Roman"/>
          <w:sz w:val="24"/>
        </w:rPr>
        <w:t xml:space="preserve"> - ostvareni su u iznosu od 470.604,36 eura, a odnose se na naknade troškova zaposlenima u iznosu od 37.190,37 eura, rashode za materijal i energiju u iznosu od 80.024,69 eura, rashode za usluge u iznosu od 227.460,93 eura te na ostale nespomenute rashode poslovanja u iznosu od 125.928,37 eura (od toga troškovi sudskih postupaka iznose 115.786,60 eura);</w:t>
      </w:r>
    </w:p>
    <w:p w:rsidR="00A347DB" w:rsidRDefault="002B6CF8">
      <w:pPr>
        <w:numPr>
          <w:ilvl w:val="0"/>
          <w:numId w:val="3"/>
        </w:numPr>
        <w:spacing w:line="240" w:lineRule="auto"/>
        <w:jc w:val="both"/>
      </w:pPr>
      <w:r>
        <w:rPr>
          <w:rFonts w:ascii="Times New Roman" w:hAnsi="Times New Roman" w:cs="Times New Roman"/>
          <w:b/>
          <w:sz w:val="24"/>
        </w:rPr>
        <w:t>Financijski rashodi</w:t>
      </w:r>
      <w:r>
        <w:rPr>
          <w:rFonts w:ascii="Times New Roman" w:hAnsi="Times New Roman" w:cs="Times New Roman"/>
          <w:sz w:val="24"/>
        </w:rPr>
        <w:t xml:space="preserve"> - ostvareni su u iznosu od 81.150,14 eura, a odnose se na bankarske usluge i usluge platnog prometa u iznosu od 3.162,26 eura te na zatezne kamate po pravomoćnim sudskim presudama u iznosu od 77.987,88 eura;</w:t>
      </w:r>
    </w:p>
    <w:p w:rsidR="00A347DB" w:rsidRDefault="002B6CF8">
      <w:pPr>
        <w:numPr>
          <w:ilvl w:val="0"/>
          <w:numId w:val="3"/>
        </w:numPr>
        <w:spacing w:line="240" w:lineRule="auto"/>
        <w:jc w:val="both"/>
      </w:pPr>
      <w:r>
        <w:rPr>
          <w:rFonts w:ascii="Times New Roman" w:hAnsi="Times New Roman" w:cs="Times New Roman"/>
          <w:b/>
          <w:sz w:val="24"/>
        </w:rPr>
        <w:t>Ostali rashodi</w:t>
      </w:r>
      <w:r>
        <w:rPr>
          <w:rFonts w:ascii="Times New Roman" w:hAnsi="Times New Roman" w:cs="Times New Roman"/>
          <w:sz w:val="24"/>
        </w:rPr>
        <w:t xml:space="preserve"> - ostvareni su u iznosu od 25,50 eura, a odnose se na kaznu za parkiranje službenog automobila.</w:t>
      </w:r>
    </w:p>
    <w:p w:rsidR="00A347DB" w:rsidRDefault="002B6CF8">
      <w:pPr>
        <w:spacing w:line="240" w:lineRule="auto"/>
        <w:jc w:val="both"/>
      </w:pPr>
      <w:r>
        <w:rPr>
          <w:rFonts w:ascii="Times New Roman" w:hAnsi="Times New Roman" w:cs="Times New Roman"/>
          <w:sz w:val="24"/>
        </w:rPr>
        <w:t xml:space="preserve">U razdoblju od siječnja do kraja lipnja 2025. godine Centar je realizirao 22,38% planiranih rashoda poslovanja iz razloga što u navedenom razdoblju nisu ostvareni planirani rashodi za troškove sudskih postupaka te zateznih kamata za dugotrajne sudske postupke. </w:t>
      </w:r>
    </w:p>
    <w:p w:rsidR="00A347DB" w:rsidRDefault="002B6CF8">
      <w:pPr>
        <w:spacing w:line="240" w:lineRule="auto"/>
        <w:jc w:val="both"/>
      </w:pPr>
      <w:r>
        <w:rPr>
          <w:rFonts w:ascii="Times New Roman" w:hAnsi="Times New Roman" w:cs="Times New Roman"/>
          <w:b/>
          <w:sz w:val="24"/>
        </w:rPr>
        <w:t> </w:t>
      </w:r>
    </w:p>
    <w:p w:rsidR="00A347DB" w:rsidRDefault="002B6CF8">
      <w:pPr>
        <w:spacing w:line="240" w:lineRule="auto"/>
        <w:jc w:val="both"/>
      </w:pPr>
      <w:r>
        <w:rPr>
          <w:rFonts w:ascii="Times New Roman" w:hAnsi="Times New Roman" w:cs="Times New Roman"/>
          <w:b/>
          <w:sz w:val="24"/>
        </w:rPr>
        <w:lastRenderedPageBreak/>
        <w:t>RASHODI ZA NABAVU NEFINANCIJSKE IMOVINE</w:t>
      </w:r>
    </w:p>
    <w:p w:rsidR="00A347DB" w:rsidRDefault="002B6CF8">
      <w:pPr>
        <w:spacing w:line="240" w:lineRule="auto"/>
        <w:jc w:val="both"/>
      </w:pPr>
      <w:r>
        <w:rPr>
          <w:rFonts w:ascii="Times New Roman" w:hAnsi="Times New Roman" w:cs="Times New Roman"/>
          <w:sz w:val="24"/>
        </w:rPr>
        <w:t>Centar je za 2025. godinu planirao rashode za nabavu nefinancijske imovine u iznosu 425.000,00 eura, a u izvještajnom razdoblju od siječnja do kraja lipnja 2025. godine isti su ostvareni u iznosu od 14.655,39 eura ili 3,45% plana i odnose se na:</w:t>
      </w:r>
    </w:p>
    <w:p w:rsidR="00A347DB" w:rsidRDefault="002B6CF8">
      <w:pPr>
        <w:numPr>
          <w:ilvl w:val="0"/>
          <w:numId w:val="4"/>
        </w:numPr>
        <w:spacing w:line="240" w:lineRule="auto"/>
        <w:jc w:val="both"/>
      </w:pPr>
      <w:r>
        <w:rPr>
          <w:rFonts w:ascii="Times New Roman" w:hAnsi="Times New Roman" w:cs="Times New Roman"/>
          <w:b/>
          <w:sz w:val="24"/>
        </w:rPr>
        <w:t>Rashodi za nabavu proizvedene dugotrajne imovine</w:t>
      </w:r>
      <w:r>
        <w:rPr>
          <w:rFonts w:ascii="Times New Roman" w:hAnsi="Times New Roman" w:cs="Times New Roman"/>
          <w:sz w:val="24"/>
        </w:rPr>
        <w:t xml:space="preserve"> - ostvareni su u iznosu od 14.655,39 eura, a  odnose se na nabavu uredske opreme i namještaja u iznosu od 9.700,00 eura, na nabavu opreme za održavanje i zaštitu u iznosu od 3.302,50 eura te nabavu uređaja, strojeva i opreme za ostale namjene u iznosu od 1.652,89 eura.</w:t>
      </w:r>
    </w:p>
    <w:p w:rsidR="00A347DB" w:rsidRDefault="002B6CF8">
      <w:pPr>
        <w:spacing w:line="240" w:lineRule="auto"/>
        <w:jc w:val="both"/>
      </w:pPr>
      <w:r>
        <w:rPr>
          <w:rFonts w:ascii="Times New Roman" w:hAnsi="Times New Roman" w:cs="Times New Roman"/>
          <w:sz w:val="24"/>
        </w:rPr>
        <w:t>U razdoblju od siječnja do kraja lipnja 2025. godine Centar je realizirao 3,45% planiranih rashoda za nabavu nefinancijske imovine iz razloga što u navedenom razdoblju nisu ostvarena planirana ulaganja u računalne programe. </w:t>
      </w:r>
    </w:p>
    <w:p w:rsidR="00A347DB" w:rsidRDefault="002B6CF8">
      <w:pPr>
        <w:spacing w:line="360" w:lineRule="auto"/>
      </w:pPr>
      <w:r>
        <w:rPr>
          <w:rFonts w:ascii="Times New Roman" w:hAnsi="Times New Roman" w:cs="Times New Roman"/>
          <w:b/>
          <w:sz w:val="24"/>
          <w:u w:val="single"/>
        </w:rPr>
        <w:br/>
        <w:t>RAČUN FINANCIRANJA</w:t>
      </w:r>
    </w:p>
    <w:p w:rsidR="00A347DB" w:rsidRDefault="002B6CF8">
      <w:pPr>
        <w:spacing w:line="360" w:lineRule="auto"/>
      </w:pPr>
      <w:r>
        <w:rPr>
          <w:rFonts w:ascii="Times New Roman" w:hAnsi="Times New Roman" w:cs="Times New Roman"/>
          <w:b/>
          <w:sz w:val="24"/>
          <w:u w:val="single"/>
        </w:rPr>
        <w:t>Račun prihoda i rashoda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658"/>
        <w:gridCol w:w="1864"/>
        <w:gridCol w:w="1864"/>
        <w:gridCol w:w="932"/>
      </w:tblGrid>
      <w:tr w:rsidR="00A347DB">
        <w:tc>
          <w:tcPr>
            <w:tcW w:w="25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10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2025.</w:t>
            </w:r>
          </w:p>
        </w:tc>
        <w:tc>
          <w:tcPr>
            <w:tcW w:w="8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INDEKS</w:t>
            </w:r>
          </w:p>
        </w:tc>
      </w:tr>
      <w:tr w:rsidR="00A347DB">
        <w:tc>
          <w:tcPr>
            <w:tcW w:w="2500" w:type="pct"/>
            <w:shd w:val="clear" w:color="auto" w:fill="BCDFFB"/>
            <w:vAlign w:val="center"/>
          </w:tcPr>
          <w:p w:rsidR="00A347DB" w:rsidRDefault="002B6CF8">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A347DB" w:rsidRDefault="002B6CF8">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A347DB" w:rsidRDefault="002B6CF8">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A347DB" w:rsidRDefault="002B6CF8">
            <w:pPr>
              <w:spacing w:after="0" w:line="240" w:lineRule="auto"/>
              <w:jc w:val="center"/>
            </w:pPr>
            <w:r>
              <w:rPr>
                <w:rFonts w:ascii="Times New Roman" w:hAnsi="Times New Roman" w:cs="Times New Roman"/>
                <w:sz w:val="14"/>
              </w:rPr>
              <w:t>4=3/2</w:t>
            </w:r>
          </w:p>
        </w:tc>
      </w:tr>
      <w:tr w:rsidR="00A347DB">
        <w:tc>
          <w:tcPr>
            <w:tcW w:w="2500" w:type="pct"/>
            <w:vAlign w:val="center"/>
          </w:tcPr>
          <w:p w:rsidR="00A347DB" w:rsidRDefault="002B6CF8">
            <w:pPr>
              <w:spacing w:after="0" w:line="240" w:lineRule="auto"/>
            </w:pPr>
            <w:r>
              <w:rPr>
                <w:rFonts w:ascii="Times New Roman" w:hAnsi="Times New Roman" w:cs="Times New Roman"/>
                <w:sz w:val="18"/>
              </w:rPr>
              <w:t>UKUPNI PRIHODI</w:t>
            </w:r>
          </w:p>
        </w:tc>
        <w:tc>
          <w:tcPr>
            <w:tcW w:w="1000" w:type="pct"/>
            <w:vAlign w:val="bottom"/>
          </w:tcPr>
          <w:p w:rsidR="00A347DB" w:rsidRDefault="002B6CF8">
            <w:pPr>
              <w:spacing w:after="0" w:line="240" w:lineRule="auto"/>
              <w:jc w:val="right"/>
            </w:pPr>
            <w:r>
              <w:rPr>
                <w:rFonts w:ascii="Times New Roman" w:hAnsi="Times New Roman" w:cs="Times New Roman"/>
                <w:sz w:val="18"/>
              </w:rPr>
              <w:t>11.361.936</w:t>
            </w:r>
          </w:p>
        </w:tc>
        <w:tc>
          <w:tcPr>
            <w:tcW w:w="1000" w:type="pct"/>
            <w:vAlign w:val="bottom"/>
          </w:tcPr>
          <w:p w:rsidR="00A347DB" w:rsidRDefault="002B6CF8">
            <w:pPr>
              <w:spacing w:after="0" w:line="240" w:lineRule="auto"/>
              <w:jc w:val="right"/>
            </w:pPr>
            <w:r>
              <w:rPr>
                <w:rFonts w:ascii="Times New Roman" w:hAnsi="Times New Roman" w:cs="Times New Roman"/>
                <w:sz w:val="18"/>
              </w:rPr>
              <w:t>610.500</w:t>
            </w:r>
          </w:p>
        </w:tc>
        <w:tc>
          <w:tcPr>
            <w:tcW w:w="800" w:type="pct"/>
            <w:vAlign w:val="bottom"/>
          </w:tcPr>
          <w:p w:rsidR="00A347DB" w:rsidRDefault="002B6CF8">
            <w:pPr>
              <w:spacing w:after="0" w:line="240" w:lineRule="auto"/>
              <w:jc w:val="right"/>
            </w:pPr>
            <w:r>
              <w:rPr>
                <w:rFonts w:ascii="Times New Roman" w:hAnsi="Times New Roman" w:cs="Times New Roman"/>
                <w:sz w:val="18"/>
              </w:rPr>
              <w:t>5,4</w:t>
            </w:r>
          </w:p>
        </w:tc>
      </w:tr>
      <w:tr w:rsidR="00A347DB">
        <w:tc>
          <w:tcPr>
            <w:tcW w:w="2500" w:type="pct"/>
            <w:vAlign w:val="bottom"/>
          </w:tcPr>
          <w:p w:rsidR="00A347DB" w:rsidRDefault="002B6CF8">
            <w:pPr>
              <w:spacing w:after="0" w:line="240" w:lineRule="auto"/>
            </w:pPr>
            <w:r>
              <w:rPr>
                <w:rFonts w:ascii="Times New Roman" w:hAnsi="Times New Roman" w:cs="Times New Roman"/>
                <w:sz w:val="18"/>
              </w:rPr>
              <w:t>UKUPNI RASHODI</w:t>
            </w:r>
          </w:p>
        </w:tc>
        <w:tc>
          <w:tcPr>
            <w:tcW w:w="1000" w:type="pct"/>
            <w:vAlign w:val="bottom"/>
          </w:tcPr>
          <w:p w:rsidR="00A347DB" w:rsidRDefault="002B6CF8">
            <w:pPr>
              <w:spacing w:after="0" w:line="240" w:lineRule="auto"/>
              <w:jc w:val="right"/>
            </w:pPr>
            <w:r>
              <w:rPr>
                <w:rFonts w:ascii="Times New Roman" w:hAnsi="Times New Roman" w:cs="Times New Roman"/>
                <w:sz w:val="18"/>
              </w:rPr>
              <w:t>8.191.000</w:t>
            </w:r>
          </w:p>
        </w:tc>
        <w:tc>
          <w:tcPr>
            <w:tcW w:w="1000" w:type="pct"/>
            <w:vAlign w:val="bottom"/>
          </w:tcPr>
          <w:p w:rsidR="00A347DB" w:rsidRDefault="002B6CF8">
            <w:pPr>
              <w:spacing w:after="0" w:line="240" w:lineRule="auto"/>
              <w:jc w:val="right"/>
            </w:pPr>
            <w:r>
              <w:rPr>
                <w:rFonts w:ascii="Times New Roman" w:hAnsi="Times New Roman" w:cs="Times New Roman"/>
                <w:sz w:val="18"/>
              </w:rPr>
              <w:t>1.752.629</w:t>
            </w:r>
          </w:p>
        </w:tc>
        <w:tc>
          <w:tcPr>
            <w:tcW w:w="800" w:type="pct"/>
            <w:vAlign w:val="bottom"/>
          </w:tcPr>
          <w:p w:rsidR="00A347DB" w:rsidRDefault="002B6CF8">
            <w:pPr>
              <w:spacing w:after="0" w:line="240" w:lineRule="auto"/>
              <w:jc w:val="right"/>
            </w:pPr>
            <w:r>
              <w:rPr>
                <w:rFonts w:ascii="Times New Roman" w:hAnsi="Times New Roman" w:cs="Times New Roman"/>
                <w:sz w:val="18"/>
              </w:rPr>
              <w:t>21,4</w:t>
            </w:r>
          </w:p>
        </w:tc>
      </w:tr>
      <w:tr w:rsidR="00A347DB">
        <w:tc>
          <w:tcPr>
            <w:tcW w:w="2500" w:type="pct"/>
            <w:vAlign w:val="bottom"/>
          </w:tcPr>
          <w:p w:rsidR="00A347DB" w:rsidRDefault="002B6CF8">
            <w:pPr>
              <w:spacing w:after="0" w:line="240" w:lineRule="auto"/>
            </w:pPr>
            <w:r>
              <w:rPr>
                <w:rFonts w:ascii="Times New Roman" w:hAnsi="Times New Roman" w:cs="Times New Roman"/>
                <w:b/>
                <w:sz w:val="18"/>
              </w:rPr>
              <w:t>RAZLIKA - VIŠAK/MANJAK</w:t>
            </w:r>
          </w:p>
        </w:tc>
        <w:tc>
          <w:tcPr>
            <w:tcW w:w="1000" w:type="pct"/>
            <w:vAlign w:val="bottom"/>
          </w:tcPr>
          <w:p w:rsidR="00A347DB" w:rsidRDefault="002B6CF8">
            <w:pPr>
              <w:spacing w:after="0" w:line="240" w:lineRule="auto"/>
              <w:jc w:val="right"/>
            </w:pPr>
            <w:r>
              <w:rPr>
                <w:rFonts w:ascii="Times New Roman" w:hAnsi="Times New Roman" w:cs="Times New Roman"/>
                <w:b/>
                <w:sz w:val="18"/>
              </w:rPr>
              <w:t>3.170.936</w:t>
            </w:r>
          </w:p>
        </w:tc>
        <w:tc>
          <w:tcPr>
            <w:tcW w:w="800" w:type="pct"/>
            <w:vAlign w:val="bottom"/>
          </w:tcPr>
          <w:p w:rsidR="00A347DB" w:rsidRDefault="002B6CF8">
            <w:pPr>
              <w:spacing w:after="0" w:line="240" w:lineRule="auto"/>
              <w:jc w:val="right"/>
            </w:pPr>
            <w:r>
              <w:rPr>
                <w:rFonts w:ascii="Times New Roman" w:hAnsi="Times New Roman" w:cs="Times New Roman"/>
                <w:b/>
                <w:sz w:val="18"/>
              </w:rPr>
              <w:t>-1.142.129</w:t>
            </w:r>
          </w:p>
        </w:tc>
        <w:tc>
          <w:tcPr>
            <w:tcW w:w="800" w:type="pct"/>
            <w:vAlign w:val="bottom"/>
          </w:tcPr>
          <w:p w:rsidR="00A347DB" w:rsidRDefault="002B6CF8">
            <w:pPr>
              <w:spacing w:after="0" w:line="240" w:lineRule="auto"/>
              <w:jc w:val="right"/>
            </w:pPr>
            <w:r>
              <w:rPr>
                <w:rFonts w:ascii="Times New Roman" w:hAnsi="Times New Roman" w:cs="Times New Roman"/>
                <w:b/>
                <w:sz w:val="18"/>
              </w:rPr>
              <w:t>-36,0</w:t>
            </w:r>
          </w:p>
        </w:tc>
      </w:tr>
    </w:tbl>
    <w:p w:rsidR="00A347DB" w:rsidRDefault="00A347DB">
      <w:pPr>
        <w:spacing w:after="0" w:line="240" w:lineRule="auto"/>
      </w:pPr>
    </w:p>
    <w:p w:rsidR="00A347DB" w:rsidRDefault="002B6CF8">
      <w:pPr>
        <w:spacing w:line="360" w:lineRule="auto"/>
      </w:pPr>
      <w:r>
        <w:rPr>
          <w:rFonts w:ascii="Times New Roman" w:hAnsi="Times New Roman" w:cs="Times New Roman"/>
          <w:b/>
          <w:sz w:val="24"/>
          <w:u w:val="single"/>
        </w:rP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658"/>
        <w:gridCol w:w="1864"/>
        <w:gridCol w:w="1864"/>
        <w:gridCol w:w="932"/>
      </w:tblGrid>
      <w:tr w:rsidR="00A347DB">
        <w:tc>
          <w:tcPr>
            <w:tcW w:w="25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10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2025.</w:t>
            </w:r>
          </w:p>
        </w:tc>
        <w:tc>
          <w:tcPr>
            <w:tcW w:w="800" w:type="pct"/>
            <w:shd w:val="clear" w:color="auto" w:fill="BCDFFB"/>
            <w:vAlign w:val="center"/>
          </w:tcPr>
          <w:p w:rsidR="00A347DB" w:rsidRDefault="002B6CF8">
            <w:pPr>
              <w:spacing w:after="0" w:line="240" w:lineRule="auto"/>
              <w:jc w:val="center"/>
            </w:pPr>
            <w:r>
              <w:rPr>
                <w:rFonts w:ascii="Times New Roman" w:hAnsi="Times New Roman" w:cs="Times New Roman"/>
                <w:b/>
                <w:sz w:val="18"/>
              </w:rPr>
              <w:t>INDEKS</w:t>
            </w:r>
          </w:p>
        </w:tc>
      </w:tr>
      <w:tr w:rsidR="00A347DB">
        <w:tc>
          <w:tcPr>
            <w:tcW w:w="2500" w:type="pct"/>
            <w:shd w:val="clear" w:color="auto" w:fill="BCDFFB"/>
            <w:vAlign w:val="center"/>
          </w:tcPr>
          <w:p w:rsidR="00A347DB" w:rsidRDefault="002B6CF8">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A347DB" w:rsidRDefault="002B6CF8">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A347DB" w:rsidRDefault="002B6CF8">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A347DB" w:rsidRDefault="002B6CF8">
            <w:pPr>
              <w:spacing w:after="0" w:line="240" w:lineRule="auto"/>
              <w:jc w:val="center"/>
            </w:pPr>
            <w:r>
              <w:rPr>
                <w:rFonts w:ascii="Times New Roman" w:hAnsi="Times New Roman" w:cs="Times New Roman"/>
                <w:sz w:val="14"/>
              </w:rPr>
              <w:t>4=3/2</w:t>
            </w:r>
          </w:p>
        </w:tc>
      </w:tr>
      <w:tr w:rsidR="00A347DB">
        <w:tc>
          <w:tcPr>
            <w:tcW w:w="2500" w:type="pct"/>
            <w:vAlign w:val="center"/>
          </w:tcPr>
          <w:p w:rsidR="00A347DB" w:rsidRDefault="002B6CF8">
            <w:pPr>
              <w:spacing w:after="0" w:line="240" w:lineRule="auto"/>
            </w:pPr>
            <w:r>
              <w:rPr>
                <w:rFonts w:ascii="Times New Roman" w:hAnsi="Times New Roman" w:cs="Times New Roman"/>
                <w:sz w:val="18"/>
              </w:rPr>
              <w:t>8 PRIMICI OD FINANCIJSKE IMOVINE I ZADUŽIVANJA</w:t>
            </w:r>
          </w:p>
        </w:tc>
        <w:tc>
          <w:tcPr>
            <w:tcW w:w="1000" w:type="pct"/>
            <w:vAlign w:val="bottom"/>
          </w:tcPr>
          <w:p w:rsidR="00A347DB" w:rsidRDefault="002B6CF8">
            <w:pPr>
              <w:spacing w:after="0" w:line="240" w:lineRule="auto"/>
              <w:jc w:val="right"/>
            </w:pPr>
            <w:r>
              <w:rPr>
                <w:rFonts w:ascii="Times New Roman" w:hAnsi="Times New Roman" w:cs="Times New Roman"/>
                <w:sz w:val="18"/>
              </w:rPr>
              <w:t>580.000</w:t>
            </w:r>
          </w:p>
        </w:tc>
        <w:tc>
          <w:tcPr>
            <w:tcW w:w="1000" w:type="pct"/>
            <w:vAlign w:val="bottom"/>
          </w:tcPr>
          <w:p w:rsidR="00A347DB" w:rsidRDefault="002B6CF8">
            <w:pPr>
              <w:spacing w:after="0" w:line="240" w:lineRule="auto"/>
              <w:jc w:val="right"/>
            </w:pPr>
            <w:r>
              <w:rPr>
                <w:rFonts w:ascii="Times New Roman" w:hAnsi="Times New Roman" w:cs="Times New Roman"/>
                <w:sz w:val="18"/>
              </w:rPr>
              <w:t>1.553.982</w:t>
            </w:r>
          </w:p>
        </w:tc>
        <w:tc>
          <w:tcPr>
            <w:tcW w:w="800" w:type="pct"/>
            <w:vAlign w:val="bottom"/>
          </w:tcPr>
          <w:p w:rsidR="00A347DB" w:rsidRDefault="002B6CF8">
            <w:pPr>
              <w:spacing w:after="0" w:line="240" w:lineRule="auto"/>
              <w:jc w:val="right"/>
            </w:pPr>
            <w:r>
              <w:rPr>
                <w:rFonts w:ascii="Times New Roman" w:hAnsi="Times New Roman" w:cs="Times New Roman"/>
                <w:sz w:val="18"/>
              </w:rPr>
              <w:t>267,9</w:t>
            </w:r>
          </w:p>
        </w:tc>
      </w:tr>
      <w:tr w:rsidR="00A347DB">
        <w:tc>
          <w:tcPr>
            <w:tcW w:w="2500" w:type="pct"/>
            <w:vAlign w:val="bottom"/>
          </w:tcPr>
          <w:p w:rsidR="00A347DB" w:rsidRDefault="002B6CF8">
            <w:pPr>
              <w:spacing w:after="0" w:line="240" w:lineRule="auto"/>
            </w:pPr>
            <w:r>
              <w:rPr>
                <w:rFonts w:ascii="Times New Roman" w:hAnsi="Times New Roman" w:cs="Times New Roman"/>
                <w:sz w:val="18"/>
              </w:rPr>
              <w:t>5 IZDACI ZA FINANCIJSKU IMOVINU I OTPLATE ZAJMOVA</w:t>
            </w:r>
          </w:p>
        </w:tc>
        <w:tc>
          <w:tcPr>
            <w:tcW w:w="1000" w:type="pct"/>
            <w:vAlign w:val="bottom"/>
          </w:tcPr>
          <w:p w:rsidR="00A347DB" w:rsidRDefault="002B6CF8">
            <w:pPr>
              <w:spacing w:after="0" w:line="240" w:lineRule="auto"/>
              <w:jc w:val="right"/>
            </w:pPr>
            <w:r>
              <w:rPr>
                <w:rFonts w:ascii="Times New Roman" w:hAnsi="Times New Roman" w:cs="Times New Roman"/>
                <w:sz w:val="18"/>
              </w:rPr>
              <w:t>0</w:t>
            </w:r>
          </w:p>
        </w:tc>
        <w:tc>
          <w:tcPr>
            <w:tcW w:w="1000" w:type="pct"/>
            <w:vAlign w:val="bottom"/>
          </w:tcPr>
          <w:p w:rsidR="00A347DB" w:rsidRDefault="002B6CF8">
            <w:pPr>
              <w:spacing w:after="0" w:line="240" w:lineRule="auto"/>
              <w:jc w:val="right"/>
            </w:pPr>
            <w:r>
              <w:rPr>
                <w:rFonts w:ascii="Times New Roman" w:hAnsi="Times New Roman" w:cs="Times New Roman"/>
                <w:sz w:val="18"/>
              </w:rPr>
              <w:t>0</w:t>
            </w:r>
          </w:p>
        </w:tc>
        <w:tc>
          <w:tcPr>
            <w:tcW w:w="800" w:type="pct"/>
            <w:vAlign w:val="bottom"/>
          </w:tcPr>
          <w:p w:rsidR="00A347DB" w:rsidRDefault="00A347DB">
            <w:pPr>
              <w:spacing w:after="0" w:line="240" w:lineRule="auto"/>
              <w:jc w:val="right"/>
            </w:pPr>
          </w:p>
        </w:tc>
      </w:tr>
      <w:tr w:rsidR="00A347DB">
        <w:tc>
          <w:tcPr>
            <w:tcW w:w="2500" w:type="pct"/>
            <w:vAlign w:val="bottom"/>
          </w:tcPr>
          <w:p w:rsidR="00A347DB" w:rsidRDefault="002B6CF8">
            <w:pPr>
              <w:spacing w:after="0" w:line="240" w:lineRule="auto"/>
            </w:pPr>
            <w:r>
              <w:rPr>
                <w:rFonts w:ascii="Times New Roman" w:hAnsi="Times New Roman" w:cs="Times New Roman"/>
                <w:b/>
                <w:sz w:val="18"/>
              </w:rPr>
              <w:t>RAZLIKA PRIMITAKA I IZDATAKA</w:t>
            </w:r>
          </w:p>
        </w:tc>
        <w:tc>
          <w:tcPr>
            <w:tcW w:w="1000" w:type="pct"/>
            <w:vAlign w:val="bottom"/>
          </w:tcPr>
          <w:p w:rsidR="00A347DB" w:rsidRDefault="002B6CF8">
            <w:pPr>
              <w:spacing w:after="0" w:line="240" w:lineRule="auto"/>
              <w:jc w:val="right"/>
            </w:pPr>
            <w:r>
              <w:rPr>
                <w:rFonts w:ascii="Times New Roman" w:hAnsi="Times New Roman" w:cs="Times New Roman"/>
                <w:b/>
                <w:sz w:val="18"/>
              </w:rPr>
              <w:t>580.000</w:t>
            </w:r>
          </w:p>
        </w:tc>
        <w:tc>
          <w:tcPr>
            <w:tcW w:w="1000" w:type="pct"/>
            <w:vAlign w:val="bottom"/>
          </w:tcPr>
          <w:p w:rsidR="00A347DB" w:rsidRDefault="002B6CF8">
            <w:pPr>
              <w:spacing w:after="0" w:line="240" w:lineRule="auto"/>
              <w:jc w:val="right"/>
            </w:pPr>
            <w:r>
              <w:rPr>
                <w:rFonts w:ascii="Times New Roman" w:hAnsi="Times New Roman" w:cs="Times New Roman"/>
                <w:b/>
                <w:sz w:val="18"/>
              </w:rPr>
              <w:t>1.553.982</w:t>
            </w:r>
          </w:p>
        </w:tc>
        <w:tc>
          <w:tcPr>
            <w:tcW w:w="800" w:type="pct"/>
            <w:vAlign w:val="bottom"/>
          </w:tcPr>
          <w:p w:rsidR="00A347DB" w:rsidRDefault="002B6CF8">
            <w:pPr>
              <w:spacing w:after="0" w:line="240" w:lineRule="auto"/>
              <w:jc w:val="right"/>
            </w:pPr>
            <w:r>
              <w:rPr>
                <w:rFonts w:ascii="Times New Roman" w:hAnsi="Times New Roman" w:cs="Times New Roman"/>
                <w:b/>
                <w:sz w:val="18"/>
              </w:rPr>
              <w:t>267,9</w:t>
            </w:r>
          </w:p>
        </w:tc>
      </w:tr>
      <w:tr w:rsidR="00A347DB">
        <w:tc>
          <w:tcPr>
            <w:tcW w:w="2500" w:type="pct"/>
            <w:vAlign w:val="bottom"/>
          </w:tcPr>
          <w:p w:rsidR="00A347DB" w:rsidRDefault="002B6CF8">
            <w:pPr>
              <w:spacing w:after="0" w:line="240" w:lineRule="auto"/>
            </w:pPr>
            <w:r>
              <w:rPr>
                <w:rFonts w:ascii="Times New Roman" w:hAnsi="Times New Roman" w:cs="Times New Roman"/>
                <w:sz w:val="18"/>
              </w:rPr>
              <w:t>PRIJENOS SREDSTAVA IZ PRETHODNE GODINE</w:t>
            </w:r>
          </w:p>
        </w:tc>
        <w:tc>
          <w:tcPr>
            <w:tcW w:w="1000" w:type="pct"/>
            <w:vAlign w:val="bottom"/>
          </w:tcPr>
          <w:p w:rsidR="00A347DB" w:rsidRDefault="002B6CF8">
            <w:pPr>
              <w:spacing w:after="0" w:line="240" w:lineRule="auto"/>
              <w:jc w:val="right"/>
            </w:pPr>
            <w:r>
              <w:rPr>
                <w:rFonts w:ascii="Times New Roman" w:hAnsi="Times New Roman" w:cs="Times New Roman"/>
                <w:sz w:val="18"/>
              </w:rPr>
              <w:t>42.880.125</w:t>
            </w:r>
          </w:p>
        </w:tc>
        <w:tc>
          <w:tcPr>
            <w:tcW w:w="800" w:type="pct"/>
            <w:vAlign w:val="bottom"/>
          </w:tcPr>
          <w:p w:rsidR="00A347DB" w:rsidRDefault="002B6CF8">
            <w:pPr>
              <w:spacing w:after="0" w:line="240" w:lineRule="auto"/>
              <w:jc w:val="right"/>
            </w:pPr>
            <w:r>
              <w:rPr>
                <w:rFonts w:ascii="Times New Roman" w:hAnsi="Times New Roman" w:cs="Times New Roman"/>
                <w:sz w:val="18"/>
              </w:rPr>
              <w:t>40.983.799</w:t>
            </w:r>
          </w:p>
        </w:tc>
        <w:tc>
          <w:tcPr>
            <w:tcW w:w="800" w:type="pct"/>
            <w:vAlign w:val="bottom"/>
          </w:tcPr>
          <w:p w:rsidR="00A347DB" w:rsidRDefault="002B6CF8">
            <w:pPr>
              <w:spacing w:after="0" w:line="240" w:lineRule="auto"/>
              <w:jc w:val="right"/>
            </w:pPr>
            <w:r>
              <w:rPr>
                <w:rFonts w:ascii="Times New Roman" w:hAnsi="Times New Roman" w:cs="Times New Roman"/>
                <w:sz w:val="18"/>
              </w:rPr>
              <w:t>95,6</w:t>
            </w:r>
          </w:p>
        </w:tc>
      </w:tr>
      <w:tr w:rsidR="00A347DB">
        <w:tc>
          <w:tcPr>
            <w:tcW w:w="2500" w:type="pct"/>
            <w:vAlign w:val="bottom"/>
          </w:tcPr>
          <w:p w:rsidR="00A347DB" w:rsidRDefault="002B6CF8">
            <w:pPr>
              <w:spacing w:after="0" w:line="240" w:lineRule="auto"/>
            </w:pPr>
            <w:r>
              <w:rPr>
                <w:rFonts w:ascii="Times New Roman" w:hAnsi="Times New Roman" w:cs="Times New Roman"/>
                <w:sz w:val="18"/>
              </w:rPr>
              <w:t>PRIJENOS SREDSTAVA U SLJEDEĆE RAZDOBLJE</w:t>
            </w:r>
          </w:p>
        </w:tc>
        <w:tc>
          <w:tcPr>
            <w:tcW w:w="1000" w:type="pct"/>
            <w:vAlign w:val="bottom"/>
          </w:tcPr>
          <w:p w:rsidR="00A347DB" w:rsidRDefault="002B6CF8">
            <w:pPr>
              <w:spacing w:after="0" w:line="240" w:lineRule="auto"/>
              <w:jc w:val="right"/>
            </w:pPr>
            <w:r>
              <w:rPr>
                <w:rFonts w:ascii="Times New Roman" w:hAnsi="Times New Roman" w:cs="Times New Roman"/>
                <w:sz w:val="18"/>
              </w:rPr>
              <w:t>-46.631.061</w:t>
            </w:r>
          </w:p>
        </w:tc>
        <w:tc>
          <w:tcPr>
            <w:tcW w:w="800" w:type="pct"/>
            <w:vAlign w:val="bottom"/>
          </w:tcPr>
          <w:p w:rsidR="00A347DB" w:rsidRDefault="002B6CF8">
            <w:pPr>
              <w:spacing w:after="0" w:line="240" w:lineRule="auto"/>
              <w:jc w:val="right"/>
            </w:pPr>
            <w:r>
              <w:rPr>
                <w:rFonts w:ascii="Times New Roman" w:hAnsi="Times New Roman" w:cs="Times New Roman"/>
                <w:sz w:val="18"/>
              </w:rPr>
              <w:t>-41.395.652</w:t>
            </w:r>
          </w:p>
        </w:tc>
        <w:tc>
          <w:tcPr>
            <w:tcW w:w="800" w:type="pct"/>
            <w:vAlign w:val="bottom"/>
          </w:tcPr>
          <w:p w:rsidR="00A347DB" w:rsidRDefault="002B6CF8">
            <w:pPr>
              <w:spacing w:after="0" w:line="240" w:lineRule="auto"/>
              <w:jc w:val="right"/>
            </w:pPr>
            <w:r>
              <w:rPr>
                <w:rFonts w:ascii="Times New Roman" w:hAnsi="Times New Roman" w:cs="Times New Roman"/>
                <w:sz w:val="18"/>
              </w:rPr>
              <w:t>88,8</w:t>
            </w:r>
          </w:p>
        </w:tc>
      </w:tr>
      <w:tr w:rsidR="00A347DB">
        <w:tc>
          <w:tcPr>
            <w:tcW w:w="2500" w:type="pct"/>
            <w:vAlign w:val="bottom"/>
          </w:tcPr>
          <w:p w:rsidR="00A347DB" w:rsidRDefault="002B6CF8">
            <w:pPr>
              <w:spacing w:after="0" w:line="240" w:lineRule="auto"/>
            </w:pPr>
            <w:r>
              <w:rPr>
                <w:rFonts w:ascii="Times New Roman" w:hAnsi="Times New Roman" w:cs="Times New Roman"/>
                <w:sz w:val="18"/>
              </w:rPr>
              <w:t>NETO FINANCIRANJE</w:t>
            </w:r>
          </w:p>
        </w:tc>
        <w:tc>
          <w:tcPr>
            <w:tcW w:w="1000" w:type="pct"/>
            <w:vAlign w:val="bottom"/>
          </w:tcPr>
          <w:p w:rsidR="00A347DB" w:rsidRDefault="002B6CF8">
            <w:pPr>
              <w:spacing w:after="0" w:line="240" w:lineRule="auto"/>
              <w:jc w:val="right"/>
            </w:pPr>
            <w:r>
              <w:rPr>
                <w:rFonts w:ascii="Times New Roman" w:hAnsi="Times New Roman" w:cs="Times New Roman"/>
                <w:sz w:val="18"/>
              </w:rPr>
              <w:t>-3.170.936</w:t>
            </w:r>
          </w:p>
        </w:tc>
        <w:tc>
          <w:tcPr>
            <w:tcW w:w="800" w:type="pct"/>
            <w:vAlign w:val="bottom"/>
          </w:tcPr>
          <w:p w:rsidR="00A347DB" w:rsidRDefault="002B6CF8">
            <w:pPr>
              <w:spacing w:after="0" w:line="240" w:lineRule="auto"/>
              <w:jc w:val="right"/>
            </w:pPr>
            <w:r>
              <w:rPr>
                <w:rFonts w:ascii="Times New Roman" w:hAnsi="Times New Roman" w:cs="Times New Roman"/>
                <w:sz w:val="18"/>
              </w:rPr>
              <w:t>1.142.129</w:t>
            </w:r>
          </w:p>
        </w:tc>
        <w:tc>
          <w:tcPr>
            <w:tcW w:w="800" w:type="pct"/>
            <w:vAlign w:val="bottom"/>
          </w:tcPr>
          <w:p w:rsidR="00A347DB" w:rsidRDefault="002B6CF8">
            <w:pPr>
              <w:spacing w:after="0" w:line="240" w:lineRule="auto"/>
              <w:jc w:val="right"/>
            </w:pPr>
            <w:r>
              <w:rPr>
                <w:rFonts w:ascii="Times New Roman" w:hAnsi="Times New Roman" w:cs="Times New Roman"/>
                <w:sz w:val="18"/>
              </w:rPr>
              <w:t>-36,0</w:t>
            </w:r>
          </w:p>
        </w:tc>
      </w:tr>
      <w:tr w:rsidR="00A347DB">
        <w:tc>
          <w:tcPr>
            <w:tcW w:w="2500" w:type="pct"/>
            <w:vAlign w:val="bottom"/>
          </w:tcPr>
          <w:p w:rsidR="00A347DB" w:rsidRDefault="002B6CF8">
            <w:pPr>
              <w:spacing w:after="0" w:line="240" w:lineRule="auto"/>
            </w:pPr>
            <w:r>
              <w:rPr>
                <w:rFonts w:ascii="Times New Roman" w:hAnsi="Times New Roman" w:cs="Times New Roman"/>
                <w:b/>
                <w:sz w:val="18"/>
              </w:rPr>
              <w:t>VIŠAK/MANJAK + NETO FINANCIRANJE</w:t>
            </w:r>
          </w:p>
        </w:tc>
        <w:tc>
          <w:tcPr>
            <w:tcW w:w="1000" w:type="pct"/>
            <w:vAlign w:val="bottom"/>
          </w:tcPr>
          <w:p w:rsidR="00A347DB" w:rsidRDefault="002B6CF8">
            <w:pPr>
              <w:spacing w:after="0" w:line="240" w:lineRule="auto"/>
              <w:jc w:val="right"/>
            </w:pPr>
            <w:r>
              <w:rPr>
                <w:rFonts w:ascii="Times New Roman" w:hAnsi="Times New Roman" w:cs="Times New Roman"/>
                <w:b/>
                <w:sz w:val="18"/>
              </w:rPr>
              <w:t>0</w:t>
            </w:r>
          </w:p>
        </w:tc>
        <w:tc>
          <w:tcPr>
            <w:tcW w:w="800" w:type="pct"/>
            <w:vAlign w:val="bottom"/>
          </w:tcPr>
          <w:p w:rsidR="00A347DB" w:rsidRDefault="002B6CF8">
            <w:pPr>
              <w:spacing w:after="0" w:line="240" w:lineRule="auto"/>
              <w:jc w:val="right"/>
            </w:pPr>
            <w:r>
              <w:rPr>
                <w:rFonts w:ascii="Times New Roman" w:hAnsi="Times New Roman" w:cs="Times New Roman"/>
                <w:b/>
                <w:sz w:val="18"/>
              </w:rPr>
              <w:t>0</w:t>
            </w:r>
          </w:p>
        </w:tc>
        <w:tc>
          <w:tcPr>
            <w:tcW w:w="800" w:type="pct"/>
            <w:vAlign w:val="bottom"/>
          </w:tcPr>
          <w:p w:rsidR="00A347DB" w:rsidRDefault="00A347DB">
            <w:pPr>
              <w:spacing w:after="0" w:line="240" w:lineRule="auto"/>
              <w:jc w:val="right"/>
            </w:pPr>
          </w:p>
        </w:tc>
      </w:tr>
    </w:tbl>
    <w:p w:rsidR="00A347DB" w:rsidRDefault="00A347DB">
      <w:pPr>
        <w:spacing w:after="0" w:line="240" w:lineRule="auto"/>
      </w:pPr>
    </w:p>
    <w:p w:rsidR="00A347DB" w:rsidRDefault="002B6CF8">
      <w:pPr>
        <w:spacing w:line="240" w:lineRule="auto"/>
        <w:jc w:val="both"/>
      </w:pPr>
      <w:r>
        <w:rPr>
          <w:rFonts w:ascii="Times New Roman" w:hAnsi="Times New Roman" w:cs="Times New Roman"/>
          <w:b/>
          <w:sz w:val="24"/>
        </w:rPr>
        <w:t>PRIMICI OD FINANCIJSKE IMOVINE I ZADUŽIVANJA</w:t>
      </w:r>
    </w:p>
    <w:p w:rsidR="00A347DB" w:rsidRDefault="002B6CF8">
      <w:pPr>
        <w:spacing w:line="240" w:lineRule="auto"/>
        <w:jc w:val="both"/>
      </w:pPr>
      <w:r>
        <w:rPr>
          <w:rFonts w:ascii="Times New Roman" w:hAnsi="Times New Roman" w:cs="Times New Roman"/>
          <w:sz w:val="24"/>
        </w:rPr>
        <w:t>Centar je za 2025. godinu planirao primitke od financijske imovine i zaduživanja u iznosu 580.000,00 eura, a u izvještajnom razdoblju od siječnja do kraja lipnja 2025. godine isti su ostvareni u iznosu od 1.553.982,39 eura ili 267,93% plana i odnose se na:</w:t>
      </w:r>
    </w:p>
    <w:p w:rsidR="00A347DB" w:rsidRDefault="002B6CF8">
      <w:pPr>
        <w:numPr>
          <w:ilvl w:val="0"/>
          <w:numId w:val="5"/>
        </w:numPr>
        <w:spacing w:line="240" w:lineRule="auto"/>
        <w:jc w:val="both"/>
      </w:pPr>
      <w:r>
        <w:rPr>
          <w:rFonts w:ascii="Times New Roman" w:hAnsi="Times New Roman" w:cs="Times New Roman"/>
          <w:b/>
          <w:sz w:val="24"/>
        </w:rPr>
        <w:t xml:space="preserve">Primljeni povrati glavnica danih zajmova </w:t>
      </w:r>
      <w:r>
        <w:rPr>
          <w:rFonts w:ascii="Times New Roman" w:hAnsi="Times New Roman" w:cs="Times New Roman"/>
          <w:sz w:val="24"/>
        </w:rPr>
        <w:t xml:space="preserve">- ostvareni su u iznosu od 201.157,31 eura, a odnose se na primitke (povrate) glavnice zajmova (DE-FOS d.o.o., Kutina), na primitke po sklopljenim predstečajnim nagodbama (ADRIADIESEL d.d., Karlovac), sudskim </w:t>
      </w:r>
      <w:r>
        <w:rPr>
          <w:rFonts w:ascii="Times New Roman" w:hAnsi="Times New Roman" w:cs="Times New Roman"/>
          <w:sz w:val="24"/>
        </w:rPr>
        <w:lastRenderedPageBreak/>
        <w:t xml:space="preserve">postupcima (TRAMACO d.o.o., Zagreb) te stečajnim postupcima (MEISO d.d. u stečaju, </w:t>
      </w:r>
      <w:proofErr w:type="spellStart"/>
      <w:r>
        <w:rPr>
          <w:rFonts w:ascii="Times New Roman" w:hAnsi="Times New Roman" w:cs="Times New Roman"/>
          <w:sz w:val="24"/>
        </w:rPr>
        <w:t>Goričan</w:t>
      </w:r>
      <w:proofErr w:type="spellEnd"/>
      <w:r>
        <w:rPr>
          <w:rFonts w:ascii="Times New Roman" w:hAnsi="Times New Roman" w:cs="Times New Roman"/>
          <w:sz w:val="24"/>
        </w:rPr>
        <w:t>);</w:t>
      </w:r>
    </w:p>
    <w:p w:rsidR="00A347DB" w:rsidRDefault="002B6CF8">
      <w:pPr>
        <w:numPr>
          <w:ilvl w:val="0"/>
          <w:numId w:val="5"/>
        </w:numPr>
        <w:spacing w:line="240" w:lineRule="auto"/>
        <w:jc w:val="both"/>
      </w:pPr>
      <w:r>
        <w:rPr>
          <w:rFonts w:ascii="Times New Roman" w:hAnsi="Times New Roman" w:cs="Times New Roman"/>
          <w:b/>
          <w:sz w:val="24"/>
        </w:rPr>
        <w:t>Primici od prodaje financijskih instrumenata - dionica i udjela u glavnici</w:t>
      </w:r>
      <w:r>
        <w:rPr>
          <w:rFonts w:ascii="Times New Roman" w:hAnsi="Times New Roman" w:cs="Times New Roman"/>
          <w:sz w:val="24"/>
        </w:rPr>
        <w:t xml:space="preserve"> - ostvareni su u ukupnom iznosu od 1.352.825,08 eura, a u najvećoj mjeri se odnose na primitke od prodanih dionica/poslovnih udjela u vlasništvu Centra u ukupnom iznosu od 1.346.726,80 eura (VALAMAR RIVIERA d.d., Poreč, ARENA HOSPITALITY GROUP d.d., Pula, MAISTRA d.d., Rovinj, SVPETRVS HOTELI d.d., Supetar, VALALTA d.o.o., Rovinj, DTR d.d., Zagreb, CETRA d.d., Zagreb, AUTOTRANS d.d., Cres, BRODOSPAS d.d., Split) te na uplate od „malih dioničara“ u ukupnom iznosu od 6.098,28 eura.</w:t>
      </w:r>
    </w:p>
    <w:p w:rsidR="00A347DB" w:rsidRDefault="002B6CF8">
      <w:pPr>
        <w:spacing w:line="240" w:lineRule="auto"/>
        <w:jc w:val="both"/>
      </w:pPr>
      <w:r>
        <w:rPr>
          <w:rFonts w:ascii="Times New Roman" w:hAnsi="Times New Roman" w:cs="Times New Roman"/>
          <w:b/>
          <w:sz w:val="24"/>
        </w:rPr>
        <w:t xml:space="preserve">IZDACI ZA FINANCIJSKU IMOVINU I OTPLATE ZAJMOVA </w:t>
      </w:r>
    </w:p>
    <w:p w:rsidR="00A347DB" w:rsidRDefault="002B6CF8">
      <w:pPr>
        <w:spacing w:line="240" w:lineRule="auto"/>
        <w:jc w:val="both"/>
      </w:pPr>
      <w:r>
        <w:rPr>
          <w:rFonts w:ascii="Times New Roman" w:hAnsi="Times New Roman" w:cs="Times New Roman"/>
          <w:sz w:val="24"/>
        </w:rPr>
        <w:t>Centar za 2025. godinu nije planirao izdatke za financijsku imovinu i otplate zajmova.</w:t>
      </w:r>
    </w:p>
    <w:p w:rsidR="00A347DB" w:rsidRDefault="002B6CF8">
      <w:pPr>
        <w:spacing w:line="240" w:lineRule="auto"/>
        <w:jc w:val="both"/>
      </w:pPr>
      <w:r>
        <w:rPr>
          <w:rFonts w:ascii="Times New Roman" w:hAnsi="Times New Roman" w:cs="Times New Roman"/>
          <w:b/>
          <w:color w:val="EE0000"/>
          <w:sz w:val="24"/>
        </w:rPr>
        <w:t> </w:t>
      </w:r>
    </w:p>
    <w:p w:rsidR="00A347DB" w:rsidRDefault="002B6CF8">
      <w:pPr>
        <w:spacing w:line="240" w:lineRule="auto"/>
        <w:jc w:val="both"/>
      </w:pPr>
      <w:r>
        <w:rPr>
          <w:rFonts w:ascii="Times New Roman" w:hAnsi="Times New Roman" w:cs="Times New Roman"/>
          <w:b/>
          <w:sz w:val="24"/>
        </w:rPr>
        <w:t xml:space="preserve">PRIJENOS SREDSTAVA </w:t>
      </w:r>
    </w:p>
    <w:p w:rsidR="00A347DB" w:rsidRDefault="002B6CF8">
      <w:pPr>
        <w:spacing w:line="240" w:lineRule="auto"/>
        <w:jc w:val="both"/>
      </w:pPr>
      <w:r>
        <w:rPr>
          <w:rFonts w:ascii="Times New Roman" w:hAnsi="Times New Roman" w:cs="Times New Roman"/>
          <w:sz w:val="24"/>
        </w:rPr>
        <w:t>Centar je za 2025. godinu planirao prijenos sredstava iz prethodne godine u iznosu od 42.880.125,00 eura, a u izvještajnom razdoblju od siječnja do kraja lipnja 2025. godine isti su ostvareni u iznosu od 40.983.799,01 eura ili 95,58% plana i u najvećoj mjeri se odnose na sredstva ostvarena od primitaka od financijske imovine Centra iz prethodnih godina.</w:t>
      </w:r>
    </w:p>
    <w:p w:rsidR="00A347DB" w:rsidRDefault="002B6CF8">
      <w:pPr>
        <w:spacing w:line="240" w:lineRule="auto"/>
        <w:jc w:val="both"/>
      </w:pPr>
      <w:r>
        <w:rPr>
          <w:rFonts w:ascii="Times New Roman" w:hAnsi="Times New Roman" w:cs="Times New Roman"/>
          <w:sz w:val="24"/>
        </w:rPr>
        <w:t>Centar je za 2025. godinu planirao prijenos sredstava u sljedeće razdoblje u iznosu od 46.631.061,00 eura, a u izvještajnom razdoblju od siječnja do kraja lipnja 2025. godine isti su ostvareni u iznosu od 41.395.652,01 eura ili 88,77% plana i koristit će se za redovno poslovanje Centra te za podmirenje tekućih obveza.</w:t>
      </w:r>
    </w:p>
    <w:p w:rsidR="00A347DB" w:rsidRDefault="002B6CF8">
      <w:pPr>
        <w:spacing w:line="360" w:lineRule="auto"/>
        <w:jc w:val="center"/>
      </w:pPr>
      <w:r>
        <w:rPr>
          <w:rFonts w:ascii="Times New Roman" w:hAnsi="Times New Roman" w:cs="Times New Roman"/>
          <w:b/>
          <w:sz w:val="24"/>
        </w:rPr>
        <w:br/>
        <w:t>IZVJEŠTAJ O ZADUŽIVANJU NA DOMAĆEM I STRANOM TRŽIŠTU NOVCA I KAPITALA</w:t>
      </w:r>
    </w:p>
    <w:p w:rsidR="00A347DB" w:rsidRDefault="002B6CF8">
      <w:pPr>
        <w:spacing w:line="240" w:lineRule="auto"/>
        <w:jc w:val="both"/>
      </w:pPr>
      <w:r>
        <w:rPr>
          <w:rFonts w:ascii="Times New Roman" w:hAnsi="Times New Roman" w:cs="Times New Roman"/>
          <w:sz w:val="24"/>
        </w:rPr>
        <w:t>Centar se u izvještajnom razdoblju nije zaduživao na domaćem i stranom tržištu novca i kapitala niti trenutno ima u otplati dugoročne kredite i zajmove. </w:t>
      </w:r>
    </w:p>
    <w:p w:rsidR="00A347DB" w:rsidRDefault="002B6CF8">
      <w:pPr>
        <w:spacing w:line="360" w:lineRule="auto"/>
        <w:jc w:val="center"/>
      </w:pPr>
      <w:r>
        <w:rPr>
          <w:rFonts w:ascii="Times New Roman" w:hAnsi="Times New Roman" w:cs="Times New Roman"/>
          <w:b/>
          <w:sz w:val="24"/>
        </w:rPr>
        <w:br/>
        <w:t xml:space="preserve">IZVJEŠTAJ O DANIM JAMSTVIMA I PLAĆANJIMA PO PROTESTIRANIM JAMSTVIMA </w:t>
      </w:r>
    </w:p>
    <w:p w:rsidR="00A347DB" w:rsidRDefault="002B6CF8">
      <w:pPr>
        <w:spacing w:line="240" w:lineRule="auto"/>
        <w:jc w:val="both"/>
      </w:pPr>
      <w:r>
        <w:rPr>
          <w:rFonts w:ascii="Times New Roman" w:hAnsi="Times New Roman" w:cs="Times New Roman"/>
          <w:sz w:val="24"/>
        </w:rPr>
        <w:t>Centar u izvještajnom razdoblju nije davao jamstva niti je imao izvršenih plaćanja po protestiranim jamstvima. </w:t>
      </w:r>
    </w:p>
    <w:sectPr w:rsidR="00A347DB" w:rsidSect="00C63272">
      <w:headerReference w:type="even" r:id="rId7"/>
      <w:headerReference w:type="default" r:id="rId8"/>
      <w:footerReference w:type="even" r:id="rId9"/>
      <w:footerReference w:type="default" r:id="rId10"/>
      <w:headerReference w:type="first" r:id="rId11"/>
      <w:footerReference w:type="first" r:id="rId12"/>
      <w:pgSz w:w="12240" w:h="15840"/>
      <w:pgMar w:top="1417" w:right="1417" w:bottom="1417" w:left="1417" w:header="720" w:footer="720" w:gutter="0"/>
      <w:pgNumType w:start="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CF8" w:rsidRDefault="002B6CF8" w:rsidP="002B6CF8">
      <w:pPr>
        <w:spacing w:after="0" w:line="240" w:lineRule="auto"/>
      </w:pPr>
      <w:r>
        <w:separator/>
      </w:r>
    </w:p>
  </w:endnote>
  <w:endnote w:type="continuationSeparator" w:id="0">
    <w:p w:rsidR="002B6CF8" w:rsidRDefault="002B6CF8" w:rsidP="002B6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CF8" w:rsidRDefault="002B6CF8">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049940"/>
      <w:docPartObj>
        <w:docPartGallery w:val="Page Numbers (Bottom of Page)"/>
        <w:docPartUnique/>
      </w:docPartObj>
    </w:sdtPr>
    <w:sdtEndPr/>
    <w:sdtContent>
      <w:bookmarkStart w:id="0" w:name="_GoBack" w:displacedByCustomXml="prev"/>
      <w:bookmarkEnd w:id="0" w:displacedByCustomXml="prev"/>
      <w:p w:rsidR="002B6CF8" w:rsidRDefault="002B6CF8">
        <w:pPr>
          <w:pStyle w:val="Podnoje"/>
          <w:jc w:val="center"/>
        </w:pPr>
        <w:r w:rsidRPr="002B6CF8">
          <w:rPr>
            <w:rFonts w:ascii="Times New Roman" w:hAnsi="Times New Roman" w:cs="Times New Roman"/>
          </w:rPr>
          <w:fldChar w:fldCharType="begin"/>
        </w:r>
        <w:r w:rsidRPr="002B6CF8">
          <w:rPr>
            <w:rFonts w:ascii="Times New Roman" w:hAnsi="Times New Roman" w:cs="Times New Roman"/>
          </w:rPr>
          <w:instrText>PAGE   \* MERGEFORMAT</w:instrText>
        </w:r>
        <w:r w:rsidRPr="002B6CF8">
          <w:rPr>
            <w:rFonts w:ascii="Times New Roman" w:hAnsi="Times New Roman" w:cs="Times New Roman"/>
          </w:rPr>
          <w:fldChar w:fldCharType="separate"/>
        </w:r>
        <w:r w:rsidR="00C63272">
          <w:rPr>
            <w:rFonts w:ascii="Times New Roman" w:hAnsi="Times New Roman" w:cs="Times New Roman"/>
            <w:noProof/>
          </w:rPr>
          <w:t>8</w:t>
        </w:r>
        <w:r w:rsidRPr="002B6CF8">
          <w:rPr>
            <w:rFonts w:ascii="Times New Roman" w:hAnsi="Times New Roman" w:cs="Times New Roman"/>
          </w:rPr>
          <w:fldChar w:fldCharType="end"/>
        </w:r>
      </w:p>
    </w:sdtContent>
  </w:sdt>
  <w:p w:rsidR="002B6CF8" w:rsidRDefault="002B6CF8">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CF8" w:rsidRDefault="002B6CF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CF8" w:rsidRDefault="002B6CF8" w:rsidP="002B6CF8">
      <w:pPr>
        <w:spacing w:after="0" w:line="240" w:lineRule="auto"/>
      </w:pPr>
      <w:r>
        <w:separator/>
      </w:r>
    </w:p>
  </w:footnote>
  <w:footnote w:type="continuationSeparator" w:id="0">
    <w:p w:rsidR="002B6CF8" w:rsidRDefault="002B6CF8" w:rsidP="002B6C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CF8" w:rsidRDefault="002B6CF8">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CF8" w:rsidRDefault="002B6CF8">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CF8" w:rsidRDefault="002B6CF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A7C1C"/>
    <w:multiLevelType w:val="singleLevel"/>
    <w:tmpl w:val="3AA401C2"/>
    <w:name w:val="disc"/>
    <w:lvl w:ilvl="0">
      <w:numFmt w:val="bullet"/>
      <w:lvlText w:val="•"/>
      <w:lvlJc w:val="left"/>
      <w:pPr>
        <w:ind w:left="420" w:hanging="360"/>
      </w:pPr>
    </w:lvl>
  </w:abstractNum>
  <w:abstractNum w:abstractNumId="1" w15:restartNumberingAfterBreak="0">
    <w:nsid w:val="11981C20"/>
    <w:multiLevelType w:val="singleLevel"/>
    <w:tmpl w:val="4B6E349E"/>
    <w:name w:val="decimal-heading-multi"/>
    <w:lvl w:ilvl="0">
      <w:start w:val="1"/>
      <w:numFmt w:val="decimal"/>
      <w:lvlText w:val="%1."/>
      <w:lvlJc w:val="left"/>
    </w:lvl>
  </w:abstractNum>
  <w:abstractNum w:abstractNumId="2" w15:restartNumberingAfterBreak="0">
    <w:nsid w:val="3B723C50"/>
    <w:multiLevelType w:val="singleLevel"/>
    <w:tmpl w:val="0116042C"/>
    <w:name w:val="circle"/>
    <w:lvl w:ilvl="0">
      <w:numFmt w:val="bullet"/>
      <w:lvlText w:val="o"/>
      <w:lvlJc w:val="left"/>
      <w:pPr>
        <w:ind w:left="420" w:hanging="360"/>
      </w:pPr>
    </w:lvl>
  </w:abstractNum>
  <w:abstractNum w:abstractNumId="3" w15:restartNumberingAfterBreak="0">
    <w:nsid w:val="3D3A2114"/>
    <w:multiLevelType w:val="singleLevel"/>
    <w:tmpl w:val="84D8F3A8"/>
    <w:name w:val="upper-alpha"/>
    <w:lvl w:ilvl="0">
      <w:start w:val="1"/>
      <w:numFmt w:val="upperLetter"/>
      <w:lvlText w:val="%1."/>
      <w:lvlJc w:val="left"/>
      <w:pPr>
        <w:ind w:left="420" w:hanging="360"/>
      </w:pPr>
    </w:lvl>
  </w:abstractNum>
  <w:abstractNum w:abstractNumId="4" w15:restartNumberingAfterBreak="0">
    <w:nsid w:val="573F45AF"/>
    <w:multiLevelType w:val="singleLevel"/>
    <w:tmpl w:val="32543896"/>
    <w:name w:val="lower-roman"/>
    <w:lvl w:ilvl="0">
      <w:start w:val="1"/>
      <w:numFmt w:val="lowerRoman"/>
      <w:lvlText w:val="%1."/>
      <w:lvlJc w:val="left"/>
      <w:pPr>
        <w:ind w:left="420" w:hanging="360"/>
      </w:pPr>
    </w:lvl>
  </w:abstractNum>
  <w:abstractNum w:abstractNumId="5" w15:restartNumberingAfterBreak="0">
    <w:nsid w:val="60BE1C91"/>
    <w:multiLevelType w:val="singleLevel"/>
    <w:tmpl w:val="22CAE7EC"/>
    <w:name w:val="decimal"/>
    <w:lvl w:ilvl="0">
      <w:start w:val="1"/>
      <w:numFmt w:val="decimal"/>
      <w:lvlText w:val="%1."/>
      <w:lvlJc w:val="left"/>
      <w:pPr>
        <w:ind w:left="420" w:hanging="360"/>
      </w:pPr>
    </w:lvl>
  </w:abstractNum>
  <w:abstractNum w:abstractNumId="6" w15:restartNumberingAfterBreak="0">
    <w:nsid w:val="6A03390F"/>
    <w:multiLevelType w:val="singleLevel"/>
    <w:tmpl w:val="86ECA32C"/>
    <w:name w:val="square"/>
    <w:lvl w:ilvl="0">
      <w:numFmt w:val="bullet"/>
      <w:lvlText w:val="▪"/>
      <w:lvlJc w:val="left"/>
      <w:pPr>
        <w:ind w:left="420" w:hanging="360"/>
      </w:pPr>
    </w:lvl>
  </w:abstractNum>
  <w:abstractNum w:abstractNumId="7" w15:restartNumberingAfterBreak="0">
    <w:nsid w:val="772F1614"/>
    <w:multiLevelType w:val="singleLevel"/>
    <w:tmpl w:val="53EAAF7C"/>
    <w:name w:val="upper-roman"/>
    <w:lvl w:ilvl="0">
      <w:start w:val="1"/>
      <w:numFmt w:val="upperRoman"/>
      <w:lvlText w:val="%1."/>
      <w:lvlJc w:val="left"/>
      <w:pPr>
        <w:ind w:left="420" w:hanging="360"/>
      </w:pPr>
    </w:lvl>
  </w:abstractNum>
  <w:abstractNum w:abstractNumId="8" w15:restartNumberingAfterBreak="0">
    <w:nsid w:val="7A4B4F82"/>
    <w:multiLevelType w:val="singleLevel"/>
    <w:tmpl w:val="E5462B2E"/>
    <w:name w:val="lower-alpha"/>
    <w:lvl w:ilvl="0">
      <w:start w:val="1"/>
      <w:numFmt w:val="lowerLetter"/>
      <w:lvlText w:val="%1."/>
      <w:lvlJc w:val="left"/>
      <w:pPr>
        <w:ind w:left="420" w:hanging="360"/>
      </w:pPr>
    </w:lvl>
  </w:abstractNum>
  <w:num w:numId="1">
    <w:abstractNumId w:val="0"/>
    <w:lvlOverride w:ilvl="0">
      <w:startOverride w:val="1"/>
    </w:lvlOverride>
  </w:num>
  <w:num w:numId="2">
    <w:abstractNumId w:val="0"/>
    <w:lvlOverride w:ilvl="0">
      <w:startOverride w:val="1"/>
    </w:lvlOverride>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347DB"/>
    <w:rsid w:val="002B6CF8"/>
    <w:rsid w:val="00A347DB"/>
    <w:rsid w:val="00C6327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ecimalSymbol w:val=","/>
  <w:listSeparator w:val=";"/>
  <w15:docId w15:val="{CE80A4DD-ED4E-4506-AF79-4ACA3761B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B6CF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B6CF8"/>
  </w:style>
  <w:style w:type="paragraph" w:styleId="Podnoje">
    <w:name w:val="footer"/>
    <w:basedOn w:val="Normal"/>
    <w:link w:val="PodnojeChar"/>
    <w:uiPriority w:val="99"/>
    <w:unhideWhenUsed/>
    <w:rsid w:val="002B6CF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B6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1388</Words>
  <Characters>7912</Characters>
  <Application>Microsoft Office Word</Application>
  <DocSecurity>0</DocSecurity>
  <Lines>65</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Ivana Hegeduš</cp:lastModifiedBy>
  <cp:revision>3</cp:revision>
  <dcterms:created xsi:type="dcterms:W3CDTF">2025-09-05T10:57:00Z</dcterms:created>
  <dcterms:modified xsi:type="dcterms:W3CDTF">2025-09-05T13:16:00Z</dcterms:modified>
</cp:coreProperties>
</file>